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Calibri" w:eastAsia="宋体" w:cs="Times New Roman"/>
          <w:color w:val="000000"/>
          <w:sz w:val="30"/>
          <w:szCs w:val="30"/>
        </w:rPr>
      </w:pPr>
      <w:bookmarkStart w:id="0" w:name="_Toc20822"/>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default"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桌面HIL台架</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r>
        <w:rPr>
          <w:rFonts w:hint="eastAsia" w:ascii="Calibri" w:hAnsi="宋体" w:eastAsia="宋体" w:cs="Times New Roman"/>
          <w:b/>
          <w:bCs/>
          <w:color w:val="000000"/>
          <w:spacing w:val="-8"/>
          <w:sz w:val="48"/>
          <w:szCs w:val="44"/>
        </w:rPr>
        <w:t xml:space="preserve"> </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wordWrap w:val="0"/>
        <w:jc w:val="right"/>
        <w:rPr>
          <w:rFonts w:hint="eastAsia"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pPr>
        <w:wordWrap w:val="0"/>
        <w:jc w:val="both"/>
        <w:rPr>
          <w:rFonts w:ascii="Calibri" w:hAnsi="Calibri" w:eastAsia="宋体" w:cs="Times New Roman"/>
          <w:color w:val="000000"/>
          <w:sz w:val="28"/>
          <w:szCs w:val="28"/>
        </w:rPr>
      </w:pPr>
      <w:r>
        <w:rPr>
          <w:rFonts w:ascii="Calibri" w:hAnsi="Calibri" w:eastAsia="宋体" w:cs="Times New Roman"/>
          <w:color w:val="000000"/>
          <w:sz w:val="28"/>
          <w:szCs w:val="28"/>
        </w:rPr>
        <w:t xml:space="preserve">       </w:t>
      </w: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0"/>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投标须知前附表</w:t>
          </w:r>
          <w:r>
            <w:rPr>
              <w:color w:val="auto"/>
              <w:sz w:val="32"/>
              <w:szCs w:val="32"/>
            </w:rPr>
            <w:tab/>
          </w:r>
          <w:r>
            <w:rPr>
              <w:color w:val="auto"/>
              <w:sz w:val="32"/>
              <w:szCs w:val="32"/>
            </w:rPr>
            <w:fldChar w:fldCharType="end"/>
          </w:r>
          <w:r>
            <w:rPr>
              <w:rFonts w:hint="eastAsia"/>
              <w:color w:val="auto"/>
              <w:sz w:val="32"/>
              <w:szCs w:val="32"/>
            </w:rPr>
            <w:t>3</w:t>
          </w:r>
        </w:p>
        <w:p>
          <w:pPr>
            <w:pStyle w:val="27"/>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投标须知</w:t>
          </w:r>
          <w:r>
            <w:rPr>
              <w:color w:val="auto"/>
              <w:sz w:val="32"/>
              <w:szCs w:val="32"/>
            </w:rPr>
            <w:tab/>
          </w:r>
          <w:r>
            <w:rPr>
              <w:color w:val="auto"/>
              <w:sz w:val="32"/>
              <w:szCs w:val="32"/>
            </w:rPr>
            <w:fldChar w:fldCharType="end"/>
          </w:r>
          <w:r>
            <w:rPr>
              <w:rFonts w:hint="eastAsia"/>
              <w:color w:val="auto"/>
              <w:sz w:val="32"/>
              <w:szCs w:val="32"/>
            </w:rPr>
            <w:t>7</w:t>
          </w:r>
        </w:p>
        <w:p>
          <w:pPr>
            <w:pStyle w:val="27"/>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7"/>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7"/>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40</w:t>
          </w:r>
        </w:p>
        <w:p>
          <w:pPr>
            <w:pStyle w:val="27"/>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52</w:t>
          </w:r>
        </w:p>
        <w:p>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0"/>
        <w:numPr>
          <w:ilvl w:val="0"/>
          <w:numId w:val="6"/>
        </w:numPr>
        <w:jc w:val="center"/>
        <w:outlineLvl w:val="0"/>
        <w:rPr>
          <w:rFonts w:ascii="Calibri" w:hAnsi="Calibri" w:eastAsia="宋体" w:cs="Times New Roman"/>
          <w:b/>
          <w:bCs/>
          <w:kern w:val="44"/>
          <w:sz w:val="36"/>
          <w:szCs w:val="44"/>
        </w:rPr>
      </w:pPr>
      <w:bookmarkStart w:id="1" w:name="_Toc25915"/>
      <w:r>
        <w:rPr>
          <w:rFonts w:hint="eastAsia" w:ascii="Calibri" w:hAnsi="Calibri" w:eastAsia="宋体" w:cs="Times New Roman"/>
          <w:b/>
          <w:bCs/>
          <w:kern w:val="44"/>
          <w:sz w:val="36"/>
          <w:szCs w:val="44"/>
        </w:rPr>
        <w:t xml:space="preserve"> 投标须知前附表</w:t>
      </w:r>
      <w:bookmarkEnd w:id="1"/>
    </w:p>
    <w:p>
      <w:pPr>
        <w:pStyle w:val="20"/>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2"/>
                <w:rFonts w:hint="eastAsia" w:ascii="宋体" w:hAnsi="宋体" w:eastAsia="宋体" w:cs="宋体"/>
                <w:b/>
                <w:sz w:val="28"/>
                <w:szCs w:val="28"/>
              </w:rPr>
            </w:pPr>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27"/>
              <w:jc w:val="center"/>
              <w:rPr>
                <w:rFonts w:hint="eastAsia" w:ascii="宋体" w:hAnsi="宋体" w:eastAsia="宋体" w:cs="宋体"/>
                <w:b/>
                <w:bCs/>
                <w:sz w:val="24"/>
                <w:szCs w:val="24"/>
              </w:rPr>
            </w:pPr>
            <w:r>
              <w:rPr>
                <w:rFonts w:hint="eastAsia" w:ascii="宋体" w:hAnsi="宋体" w:eastAsia="宋体" w:cs="宋体"/>
                <w:b/>
                <w:bCs/>
                <w:sz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color w:val="000000"/>
                <w:sz w:val="24"/>
                <w:szCs w:val="24"/>
                <w:u w:val="single"/>
              </w:rPr>
              <w:t>中国重汽集团济南动力有限公司</w:t>
            </w:r>
            <w:r>
              <w:rPr>
                <w:rFonts w:hint="eastAsia" w:ascii="宋体" w:hAnsi="宋体" w:eastAsia="宋体" w:cs="宋体"/>
                <w:b/>
                <w:bCs/>
                <w:color w:val="000000"/>
                <w:sz w:val="24"/>
                <w:szCs w:val="24"/>
                <w:u w:val="single"/>
                <w:lang w:val="en-US" w:eastAsia="zh-CN"/>
              </w:rPr>
              <w:t>桌面HIL台架</w:t>
            </w:r>
            <w:r>
              <w:rPr>
                <w:rFonts w:hint="eastAsia" w:ascii="宋体" w:hAnsi="宋体" w:eastAsia="宋体" w:cs="宋体"/>
                <w:b/>
                <w:bCs/>
                <w:color w:val="000000"/>
                <w:sz w:val="24"/>
                <w:szCs w:val="24"/>
                <w:u w:val="single"/>
              </w:rPr>
              <w:t>招标项目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sz w:val="24"/>
                <w:szCs w:val="24"/>
                <w:highlight w:val="yellow"/>
                <w:u w:val="single"/>
              </w:rPr>
              <w:t>CGZX2025080268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招标内容：</w:t>
            </w:r>
            <w:r>
              <w:rPr>
                <w:rFonts w:hint="eastAsia" w:ascii="宋体" w:hAnsi="宋体" w:eastAsia="宋体" w:cs="宋体"/>
                <w:b/>
                <w:bCs/>
                <w:sz w:val="24"/>
                <w:szCs w:val="24"/>
                <w:highlight w:val="yellow"/>
                <w:u w:val="single"/>
                <w:lang w:val="en-US" w:eastAsia="zh-CN"/>
              </w:rPr>
              <w:t>桌面HIL台架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招标形式：</w:t>
            </w:r>
            <w:r>
              <w:rPr>
                <w:rFonts w:hint="eastAsia" w:ascii="宋体" w:hAnsi="宋体" w:eastAsia="宋体" w:cs="宋体"/>
                <w:b/>
                <w:bCs/>
                <w:sz w:val="24"/>
                <w:szCs w:val="24"/>
                <w:highlight w:val="yellow"/>
                <w:u w:val="single"/>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pPr>
              <w:ind w:firstLine="482" w:firstLineChars="200"/>
              <w:rPr>
                <w:rFonts w:hint="default" w:ascii="宋体" w:hAnsi="宋体" w:eastAsia="宋体" w:cs="宋体"/>
                <w:b w:val="0"/>
                <w:bCs/>
                <w:snapToGrid w:val="0"/>
                <w:kern w:val="0"/>
                <w:sz w:val="24"/>
                <w:szCs w:val="24"/>
                <w:highlight w:val="yellow"/>
                <w:lang w:val="en-US" w:eastAsia="zh-CN"/>
              </w:rPr>
            </w:pPr>
            <w:r>
              <w:rPr>
                <w:rFonts w:hint="eastAsia" w:ascii="宋体" w:hAnsi="宋体" w:eastAsia="宋体" w:cs="宋体"/>
                <w:b/>
                <w:bCs w:val="0"/>
                <w:snapToGrid w:val="0"/>
                <w:kern w:val="0"/>
                <w:sz w:val="24"/>
                <w:szCs w:val="24"/>
                <w:highlight w:val="yellow"/>
                <w:lang w:val="en-US" w:eastAsia="zh-CN"/>
              </w:rPr>
              <w:t>商务</w:t>
            </w:r>
            <w:r>
              <w:rPr>
                <w:rFonts w:hint="eastAsia" w:ascii="宋体" w:hAnsi="宋体" w:eastAsia="宋体" w:cs="宋体"/>
                <w:b/>
                <w:bCs w:val="0"/>
                <w:snapToGrid w:val="0"/>
                <w:kern w:val="0"/>
                <w:sz w:val="24"/>
                <w:szCs w:val="24"/>
                <w:highlight w:val="yellow"/>
              </w:rPr>
              <w:t>联系人</w:t>
            </w:r>
            <w:r>
              <w:rPr>
                <w:rFonts w:hint="eastAsia" w:ascii="宋体" w:hAnsi="宋体" w:eastAsia="宋体" w:cs="宋体"/>
                <w:b/>
                <w:bCs w:val="0"/>
                <w:snapToGrid w:val="0"/>
                <w:kern w:val="0"/>
                <w:sz w:val="24"/>
                <w:szCs w:val="24"/>
                <w:highlight w:val="yellow"/>
                <w:lang w:eastAsia="zh-CN"/>
              </w:rPr>
              <w:t>：</w:t>
            </w:r>
            <w:r>
              <w:rPr>
                <w:rFonts w:hint="eastAsia" w:ascii="宋体" w:hAnsi="宋体" w:eastAsia="宋体" w:cs="宋体"/>
                <w:b w:val="0"/>
                <w:bCs/>
                <w:snapToGrid w:val="0"/>
                <w:kern w:val="0"/>
                <w:sz w:val="24"/>
                <w:szCs w:val="24"/>
                <w:highlight w:val="yellow"/>
                <w:lang w:val="en-US" w:eastAsia="zh-CN"/>
              </w:rPr>
              <w:t>杨淑超</w:t>
            </w:r>
          </w:p>
          <w:p>
            <w:pPr>
              <w:pStyle w:val="20"/>
              <w:ind w:firstLine="482" w:firstLineChars="200"/>
              <w:rPr>
                <w:rFonts w:hint="default" w:eastAsia="宋体"/>
                <w:b w:val="0"/>
                <w:bCs/>
                <w:highlight w:val="yellow"/>
                <w:lang w:val="en-US" w:eastAsia="zh-CN"/>
              </w:rPr>
            </w:pPr>
            <w:r>
              <w:rPr>
                <w:rFonts w:hint="eastAsia" w:hAnsi="宋体" w:eastAsia="宋体" w:cs="宋体"/>
                <w:b/>
                <w:bCs w:val="0"/>
                <w:snapToGrid w:val="0"/>
                <w:kern w:val="0"/>
                <w:sz w:val="24"/>
                <w:szCs w:val="24"/>
                <w:highlight w:val="yellow"/>
              </w:rPr>
              <w:t>电话：</w:t>
            </w:r>
            <w:r>
              <w:rPr>
                <w:rFonts w:hint="eastAsia" w:hAnsi="宋体" w:cs="宋体"/>
                <w:b w:val="0"/>
                <w:bCs/>
                <w:snapToGrid w:val="0"/>
                <w:kern w:val="0"/>
                <w:sz w:val="24"/>
                <w:szCs w:val="24"/>
                <w:highlight w:val="yellow"/>
                <w:lang w:val="en-US" w:eastAsia="zh-CN"/>
              </w:rPr>
              <w:t>18525373795</w:t>
            </w:r>
          </w:p>
          <w:p>
            <w:pPr>
              <w:ind w:firstLine="482" w:firstLineChars="200"/>
              <w:rPr>
                <w:rFonts w:hint="eastAsia" w:ascii="宋体" w:hAnsi="宋体" w:eastAsia="宋体" w:cs="宋体"/>
                <w:b w:val="0"/>
                <w:bCs/>
                <w:snapToGrid w:val="0"/>
                <w:kern w:val="0"/>
                <w:sz w:val="24"/>
                <w:szCs w:val="24"/>
                <w:highlight w:val="yellow"/>
              </w:rPr>
            </w:pPr>
            <w:r>
              <w:rPr>
                <w:rFonts w:hint="eastAsia" w:ascii="宋体" w:hAnsi="宋体" w:eastAsia="宋体" w:cs="宋体"/>
                <w:b/>
                <w:bCs w:val="0"/>
                <w:snapToGrid w:val="0"/>
                <w:kern w:val="0"/>
                <w:sz w:val="24"/>
                <w:szCs w:val="24"/>
                <w:highlight w:val="yellow"/>
              </w:rPr>
              <w:t>邮箱：</w:t>
            </w:r>
            <w:r>
              <w:rPr>
                <w:rFonts w:hint="eastAsia" w:ascii="宋体" w:hAnsi="宋体" w:eastAsia="宋体" w:cs="宋体"/>
                <w:b w:val="0"/>
                <w:bCs/>
                <w:snapToGrid w:val="0"/>
                <w:kern w:val="0"/>
                <w:sz w:val="24"/>
                <w:szCs w:val="24"/>
                <w:highlight w:val="yellow"/>
                <w:lang w:val="en-US" w:eastAsia="zh-CN"/>
              </w:rPr>
              <w:t>yangshuchao@sinotruk.com</w:t>
            </w:r>
          </w:p>
          <w:p>
            <w:pPr>
              <w:ind w:firstLine="482" w:firstLineChars="200"/>
              <w:rPr>
                <w:rFonts w:hint="eastAsia" w:ascii="宋体" w:hAnsi="宋体" w:eastAsia="宋体" w:cs="宋体"/>
                <w:b w:val="0"/>
                <w:bCs/>
                <w:snapToGrid w:val="0"/>
                <w:kern w:val="0"/>
                <w:sz w:val="24"/>
                <w:szCs w:val="24"/>
                <w:highlight w:val="yellow"/>
                <w:lang w:eastAsia="zh-CN"/>
              </w:rPr>
            </w:pPr>
            <w:r>
              <w:rPr>
                <w:rFonts w:hint="eastAsia" w:ascii="宋体" w:hAnsi="宋体" w:eastAsia="宋体" w:cs="宋体"/>
                <w:b/>
                <w:snapToGrid w:val="0"/>
                <w:kern w:val="0"/>
                <w:sz w:val="24"/>
                <w:szCs w:val="24"/>
                <w:highlight w:val="yellow"/>
              </w:rPr>
              <w:t>技术联系人：</w:t>
            </w:r>
            <w:r>
              <w:rPr>
                <w:rFonts w:hint="eastAsia" w:ascii="宋体" w:hAnsi="宋体" w:eastAsia="宋体" w:cs="宋体"/>
                <w:b w:val="0"/>
                <w:bCs/>
                <w:snapToGrid w:val="0"/>
                <w:kern w:val="0"/>
                <w:sz w:val="24"/>
                <w:szCs w:val="24"/>
                <w:highlight w:val="yellow"/>
                <w:lang w:val="en-US" w:eastAsia="zh-CN"/>
              </w:rPr>
              <w:t>张莹</w:t>
            </w:r>
          </w:p>
          <w:p>
            <w:pPr>
              <w:ind w:firstLine="482" w:firstLineChars="200"/>
              <w:rPr>
                <w:rFonts w:hint="default" w:ascii="宋体" w:hAnsi="宋体" w:eastAsia="宋体" w:cs="宋体"/>
                <w:b w:val="0"/>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rPr>
              <w:t>电话：</w:t>
            </w:r>
            <w:r>
              <w:rPr>
                <w:rFonts w:hint="eastAsia" w:ascii="宋体" w:hAnsi="宋体" w:eastAsia="宋体" w:cs="宋体"/>
                <w:b w:val="0"/>
                <w:bCs/>
                <w:snapToGrid w:val="0"/>
                <w:kern w:val="0"/>
                <w:sz w:val="24"/>
                <w:szCs w:val="24"/>
                <w:highlight w:val="yellow"/>
              </w:rPr>
              <w:t>1</w:t>
            </w:r>
            <w:r>
              <w:rPr>
                <w:rFonts w:hint="eastAsia" w:ascii="宋体" w:hAnsi="宋体" w:eastAsia="宋体" w:cs="宋体"/>
                <w:b w:val="0"/>
                <w:bCs/>
                <w:snapToGrid w:val="0"/>
                <w:kern w:val="0"/>
                <w:sz w:val="24"/>
                <w:szCs w:val="24"/>
                <w:highlight w:val="yellow"/>
                <w:lang w:val="en-US" w:eastAsia="zh-CN"/>
              </w:rPr>
              <w:t>8253155258</w:t>
            </w:r>
          </w:p>
          <w:p>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highlight w:val="yellow"/>
              </w:rPr>
              <w:t>邮箱：</w:t>
            </w:r>
            <w:r>
              <w:rPr>
                <w:rFonts w:hint="eastAsia" w:ascii="宋体" w:hAnsi="宋体" w:eastAsia="宋体" w:cs="宋体"/>
                <w:b w:val="0"/>
                <w:bCs/>
                <w:snapToGrid w:val="0"/>
                <w:kern w:val="0"/>
                <w:sz w:val="24"/>
                <w:szCs w:val="24"/>
                <w:highlight w:val="yellow"/>
              </w:rPr>
              <w:t>zxzhangy@sinotruk.com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hint="eastAsia" w:ascii="宋体" w:hAnsi="宋体" w:eastAsia="宋体" w:cs="宋体"/>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：人民币（应同时报含税价和不含税价，写明税率）或外币。</w:t>
            </w:r>
          </w:p>
          <w:p>
            <w:pPr>
              <w:pStyle w:val="2"/>
              <w:rPr>
                <w:rFonts w:hint="eastAsia" w:ascii="宋体" w:hAnsi="宋体" w:eastAsia="宋体" w:cs="宋体"/>
                <w:lang w:val="en-US" w:eastAsia="zh-CN"/>
              </w:rPr>
            </w:pPr>
            <w:r>
              <w:rPr>
                <w:rFonts w:hint="eastAsia" w:ascii="宋体" w:hAnsi="宋体" w:eastAsia="宋体" w:cs="宋体"/>
                <w:color w:val="000000"/>
                <w:sz w:val="24"/>
                <w:szCs w:val="24"/>
                <w:lang w:val="en-US" w:eastAsia="zh-CN"/>
              </w:rPr>
              <w:t xml:space="preserve">    </w:t>
            </w:r>
            <w:r>
              <w:rPr>
                <w:rFonts w:hint="eastAsia" w:ascii="宋体" w:hAnsi="宋体" w:eastAsia="宋体" w:cs="宋体"/>
                <w:b/>
                <w:bCs/>
                <w:color w:val="000000"/>
                <w:sz w:val="24"/>
                <w:szCs w:val="24"/>
              </w:rPr>
              <w:t>投标限价</w:t>
            </w:r>
            <w:r>
              <w:rPr>
                <w:rFonts w:hint="eastAsia" w:ascii="宋体" w:hAnsi="宋体" w:eastAsia="宋体" w:cs="宋体"/>
                <w:color w:val="000000"/>
                <w:sz w:val="24"/>
                <w:szCs w:val="24"/>
              </w:rPr>
              <w:t>：</w:t>
            </w:r>
            <w:r>
              <w:rPr>
                <w:rFonts w:hint="eastAsia" w:ascii="宋体" w:hAnsi="宋体" w:eastAsia="宋体" w:cs="宋体"/>
                <w:color w:val="000000"/>
                <w:sz w:val="24"/>
                <w:szCs w:val="24"/>
                <w:highlight w:val="yellow"/>
              </w:rPr>
              <w:t>人民币</w:t>
            </w:r>
            <w:r>
              <w:rPr>
                <w:rFonts w:hint="eastAsia" w:ascii="宋体" w:hAnsi="宋体" w:cs="宋体"/>
                <w:b/>
                <w:bCs/>
                <w:color w:val="000000"/>
                <w:sz w:val="24"/>
                <w:szCs w:val="24"/>
                <w:highlight w:val="yellow"/>
                <w:lang w:val="en-US" w:eastAsia="zh-CN"/>
              </w:rPr>
              <w:t>259.9</w:t>
            </w:r>
            <w:r>
              <w:rPr>
                <w:rFonts w:hint="eastAsia" w:ascii="宋体" w:hAnsi="宋体" w:eastAsia="宋体" w:cs="宋体"/>
                <w:color w:val="000000"/>
                <w:sz w:val="24"/>
                <w:szCs w:val="24"/>
                <w:highlight w:val="yellow"/>
              </w:rPr>
              <w:t>万元（含税，税率13%）</w:t>
            </w:r>
            <w:r>
              <w:rPr>
                <w:rFonts w:hint="eastAsia" w:ascii="宋体" w:hAnsi="宋体" w:eastAsia="宋体" w:cs="宋体"/>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ascii="宋体" w:hAnsi="宋体" w:eastAsia="宋体" w:cs="宋体"/>
                <w:b/>
                <w:bCs/>
                <w:color w:val="000000"/>
                <w:sz w:val="24"/>
                <w:szCs w:val="24"/>
              </w:rPr>
            </w:pPr>
            <w:r>
              <w:rPr>
                <w:rFonts w:hint="eastAsia" w:ascii="宋体" w:hAnsi="宋体" w:eastAsia="宋体" w:cs="宋体"/>
                <w:b/>
                <w:bCs/>
                <w:sz w:val="24"/>
                <w:szCs w:val="24"/>
                <w:highlight w:val="yellow"/>
              </w:rPr>
              <w:t>Ⅰ.对于中国境内投标人，投标条件如下：</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1.拟投标人必须是在中华人民共和国境内注册的独立法人机构，具有独立承担民事责任能力；注册资金不少于</w:t>
            </w:r>
            <w:r>
              <w:rPr>
                <w:rFonts w:hint="eastAsia" w:hAnsi="宋体" w:eastAsia="宋体" w:cs="宋体"/>
                <w:color w:val="000000"/>
                <w:sz w:val="24"/>
                <w:szCs w:val="24"/>
                <w:lang w:val="en-US" w:eastAsia="zh-CN"/>
              </w:rPr>
              <w:t>450</w:t>
            </w:r>
            <w:r>
              <w:rPr>
                <w:rFonts w:hint="eastAsia" w:ascii="宋体" w:hAnsi="宋体" w:eastAsia="宋体" w:cs="宋体"/>
                <w:color w:val="000000"/>
                <w:sz w:val="24"/>
                <w:szCs w:val="24"/>
              </w:rPr>
              <w:t>万人民币（或等值其他货币）；公司成立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4.拟投标人在工商行政管理局的《国家企业信用信息公示系统》中查询不存在不良记录；</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6.拟投标人</w:t>
            </w:r>
            <w:r>
              <w:rPr>
                <w:rFonts w:hint="eastAsia" w:ascii="宋体" w:hAnsi="宋体" w:eastAsia="宋体" w:cs="宋体"/>
                <w:sz w:val="24"/>
                <w:szCs w:val="24"/>
                <w:highlight w:val="yellow"/>
              </w:rPr>
              <w:t>2022年1月1日</w:t>
            </w:r>
            <w:r>
              <w:rPr>
                <w:rFonts w:hint="eastAsia" w:ascii="宋体" w:hAnsi="宋体" w:eastAsia="宋体" w:cs="宋体"/>
                <w:sz w:val="24"/>
                <w:szCs w:val="24"/>
              </w:rPr>
              <w:t>至今</w:t>
            </w:r>
            <w:r>
              <w:rPr>
                <w:rFonts w:hint="eastAsia" w:ascii="宋体" w:hAnsi="宋体" w:eastAsia="宋体" w:cs="宋体"/>
                <w:color w:val="000000"/>
                <w:sz w:val="24"/>
                <w:szCs w:val="24"/>
                <w:highlight w:val="yellow"/>
              </w:rPr>
              <w:t>经</w:t>
            </w:r>
            <w:r>
              <w:rPr>
                <w:rFonts w:hint="eastAsia" w:ascii="宋体" w:hAnsi="宋体" w:eastAsia="宋体" w:cs="宋体"/>
                <w:b/>
                <w:bCs/>
                <w:color w:val="000000"/>
                <w:sz w:val="24"/>
                <w:szCs w:val="24"/>
                <w:highlight w:val="yellow"/>
              </w:rPr>
              <w:t>第三方</w:t>
            </w:r>
            <w:r>
              <w:rPr>
                <w:rFonts w:hint="eastAsia" w:ascii="宋体" w:hAnsi="宋体" w:eastAsia="宋体" w:cs="宋体"/>
                <w:color w:val="000000"/>
                <w:sz w:val="24"/>
                <w:szCs w:val="24"/>
                <w:highlight w:val="yellow"/>
              </w:rPr>
              <w:t>审计</w:t>
            </w:r>
            <w:r>
              <w:rPr>
                <w:rFonts w:hint="eastAsia" w:ascii="宋体" w:hAnsi="宋体" w:eastAsia="宋体" w:cs="宋体"/>
                <w:color w:val="000000"/>
                <w:sz w:val="24"/>
                <w:szCs w:val="24"/>
              </w:rPr>
              <w:t>的公司财务报表（资产负债表、损益表、现金流量表）未显示异常；</w:t>
            </w:r>
          </w:p>
          <w:p>
            <w:pPr>
              <w:pStyle w:val="20"/>
              <w:ind w:firstLine="480" w:firstLineChars="200"/>
              <w:rPr>
                <w:rFonts w:hint="eastAsia" w:ascii="宋体" w:hAnsi="宋体" w:eastAsia="宋体" w:cs="宋体"/>
                <w:kern w:val="0"/>
                <w:sz w:val="24"/>
                <w:szCs w:val="24"/>
                <w:lang w:bidi="ar"/>
              </w:rPr>
            </w:pPr>
            <w:r>
              <w:rPr>
                <w:rFonts w:hint="eastAsia" w:ascii="宋体" w:hAnsi="宋体" w:eastAsia="宋体" w:cs="宋体"/>
                <w:color w:val="000000"/>
                <w:kern w:val="0"/>
                <w:sz w:val="24"/>
                <w:szCs w:val="24"/>
              </w:rPr>
              <w:t>7.</w:t>
            </w:r>
            <w:r>
              <w:rPr>
                <w:rFonts w:hint="eastAsia" w:ascii="宋体" w:hAnsi="宋体" w:eastAsia="宋体" w:cs="宋体"/>
                <w:color w:val="000000"/>
                <w:sz w:val="24"/>
                <w:szCs w:val="24"/>
              </w:rPr>
              <w:t>拟投标人有与本次招标内容相同或类似项目业绩，且近3年内无因服务不当而造成重大事故；</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8.投标人三年内无违法及重大违规情况；</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9.投标人须认可招标人的工作指令，包括节、假日能正常开展工作的要求；</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10.投标人最近半年纳税正常；</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11.投标人信用证明材料（中国人民银行信用代码证+征信报告）未显示异常；</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12.供方的直接或间接股东、法定代表人、董事、监事、高管非重汽员工及其亲属；</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13.如为代理商投标，需获得生产厂家正式授权，提供授权书原件，保证提供原厂售后服务并提供原厂售后服务承诺书原件。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bookmarkStart w:id="2" w:name="_Toc346372875"/>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color w:val="000000"/>
                <w:kern w:val="2"/>
                <w:sz w:val="24"/>
                <w:szCs w:val="24"/>
                <w:highlight w:val="yellow"/>
                <w:u w:val="single"/>
                <w:lang w:val="en-US" w:eastAsia="zh-CN" w:bidi="ar-SA"/>
              </w:rPr>
              <w:t>2025年09月4日</w:t>
            </w:r>
            <w:r>
              <w:rPr>
                <w:rFonts w:hint="eastAsia" w:ascii="宋体" w:hAnsi="宋体" w:eastAsia="宋体" w:cs="宋体"/>
                <w:bCs/>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rPr>
            </w:pPr>
            <w:r>
              <w:rPr>
                <w:rFonts w:hint="eastAsia" w:ascii="宋体" w:hAnsi="宋体" w:eastAsia="宋体" w:cs="宋体"/>
                <w:sz w:val="24"/>
                <w:szCs w:val="24"/>
              </w:rPr>
              <w:t>发标方式：中国重汽官网、山东省阳光采购服务平台、中国招标投标公共服务平台等公开媒体</w:t>
            </w:r>
            <w:r>
              <w:rPr>
                <w:rFonts w:hint="eastAsia" w:ascii="宋体" w:hAnsi="宋体" w:eastAsia="宋体" w:cs="宋体"/>
                <w:color w:val="000000"/>
                <w:sz w:val="24"/>
                <w:szCs w:val="24"/>
              </w:rPr>
              <w:t>公布。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color w:val="000000"/>
                <w:kern w:val="2"/>
                <w:sz w:val="24"/>
                <w:szCs w:val="24"/>
                <w:highlight w:val="yellow"/>
                <w:u w:val="single"/>
                <w:lang w:val="en-US" w:eastAsia="zh-CN" w:bidi="ar-SA"/>
              </w:rPr>
              <w:t>2025年09月20日17:00</w:t>
            </w:r>
            <w:r>
              <w:rPr>
                <w:rFonts w:hint="eastAsia" w:ascii="宋体" w:hAnsi="宋体" w:eastAsia="宋体" w:cs="宋体"/>
                <w:bCs/>
                <w:sz w:val="24"/>
                <w:szCs w:val="24"/>
                <w:highlight w:val="yellow"/>
              </w:rPr>
              <w:t>前；</w:t>
            </w:r>
          </w:p>
          <w:p>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：将答疑问题以word文件格式发邮件至</w:t>
            </w:r>
            <w:r>
              <w:rPr>
                <w:rFonts w:hint="eastAsia" w:ascii="宋体" w:hAnsi="宋体" w:eastAsia="宋体" w:cs="宋体"/>
                <w:sz w:val="24"/>
                <w:szCs w:val="24"/>
                <w:highlight w:val="yellow"/>
              </w:rPr>
              <w:t>zxzhangy@sinotruk.com</w:t>
            </w:r>
            <w:r>
              <w:rPr>
                <w:rFonts w:hint="eastAsia" w:ascii="宋体" w:hAnsi="宋体" w:eastAsia="宋体" w:cs="宋体"/>
                <w:sz w:val="24"/>
                <w:szCs w:val="24"/>
              </w:rPr>
              <w:t>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同时须在邮件中以文字方式提供投标单位全称、投标授权人姓名、联系方式（固定电话、手机、电子邮箱）。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color w:val="000000"/>
                <w:kern w:val="2"/>
                <w:sz w:val="24"/>
                <w:szCs w:val="24"/>
                <w:highlight w:val="yellow"/>
                <w:u w:val="single"/>
                <w:lang w:val="en-US" w:eastAsia="zh-CN" w:bidi="ar-SA"/>
              </w:rPr>
              <w:t>2025年09月20日17:00</w:t>
            </w:r>
            <w:r>
              <w:rPr>
                <w:rFonts w:hint="eastAsia" w:ascii="宋体" w:hAnsi="宋体" w:eastAsia="宋体" w:cs="宋体"/>
                <w:sz w:val="24"/>
                <w:szCs w:val="24"/>
              </w:rPr>
              <w:t>前；</w:t>
            </w:r>
          </w:p>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ascii="宋体" w:hAnsi="宋体" w:eastAsia="宋体" w:cs="宋体"/>
                <w:b/>
                <w:bCs/>
              </w:rPr>
            </w:pPr>
            <w:r>
              <w:rPr>
                <w:rFonts w:hint="eastAsia" w:ascii="宋体" w:hAnsi="宋体" w:eastAsia="宋体" w:cs="宋体"/>
                <w:b/>
                <w:bCs/>
              </w:rPr>
              <w:t>报名方式：</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按照中国重汽e采通“SRM非生产供应商注册手册”（附件15）进行注册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后按照招标文件第三部分投标文件组成资格证明文件中的1.1-1.12准备资料并</w:t>
            </w:r>
            <w:r>
              <w:rPr>
                <w:rFonts w:hint="eastAsia" w:ascii="宋体" w:hAnsi="宋体" w:eastAsia="宋体" w:cs="宋体"/>
              </w:rPr>
              <w:t>上传，资质审查通过即为报名成功；公示期间请尽快报名。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ascii="宋体" w:hAnsi="宋体" w:eastAsia="宋体" w:cs="宋体"/>
                <w:highlight w:val="yellow"/>
                <w:u w:val="single"/>
              </w:rPr>
            </w:pPr>
            <w:r>
              <w:rPr>
                <w:rFonts w:hint="eastAsia" w:ascii="宋体" w:hAnsi="宋体" w:eastAsia="宋体" w:cs="宋体"/>
                <w:b/>
                <w:bCs/>
              </w:rPr>
              <w:t>应标截止时间：</w:t>
            </w:r>
            <w:r>
              <w:rPr>
                <w:rFonts w:hint="eastAsia" w:ascii="宋体" w:hAnsi="宋体" w:eastAsia="宋体" w:cs="宋体"/>
                <w:highlight w:val="yellow"/>
                <w:u w:val="single"/>
              </w:rPr>
              <w:t>2025年0</w:t>
            </w:r>
            <w:r>
              <w:rPr>
                <w:rFonts w:hint="eastAsia" w:ascii="宋体" w:hAnsi="宋体" w:eastAsia="宋体" w:cs="宋体"/>
                <w:highlight w:val="yellow"/>
                <w:u w:val="single"/>
                <w:lang w:val="en-US" w:eastAsia="zh-CN"/>
              </w:rPr>
              <w:t>9</w:t>
            </w:r>
            <w:r>
              <w:rPr>
                <w:rFonts w:hint="eastAsia" w:ascii="宋体" w:hAnsi="宋体" w:eastAsia="宋体" w:cs="宋体"/>
                <w:highlight w:val="yellow"/>
                <w:u w:val="single"/>
              </w:rPr>
              <w:t>月</w:t>
            </w:r>
            <w:r>
              <w:rPr>
                <w:rFonts w:hint="eastAsia" w:eastAsia="宋体" w:cs="宋体"/>
                <w:highlight w:val="yellow"/>
                <w:u w:val="single"/>
                <w:lang w:val="en-US" w:eastAsia="zh-CN"/>
              </w:rPr>
              <w:t>21</w:t>
            </w:r>
            <w:r>
              <w:rPr>
                <w:rFonts w:hint="eastAsia" w:ascii="宋体" w:hAnsi="宋体" w:eastAsia="宋体" w:cs="宋体"/>
                <w:highlight w:val="yellow"/>
                <w:u w:val="single"/>
              </w:rPr>
              <w:t>日17时00分00秒</w:t>
            </w:r>
          </w:p>
          <w:p>
            <w:pPr>
              <w:pStyle w:val="115"/>
              <w:spacing w:line="240" w:lineRule="auto"/>
              <w:ind w:firstLine="482"/>
              <w:rPr>
                <w:rFonts w:hint="eastAsia" w:ascii="宋体" w:hAnsi="宋体" w:eastAsia="宋体" w:cs="宋体"/>
                <w:highlight w:val="yellow"/>
              </w:rPr>
            </w:pPr>
            <w:r>
              <w:rPr>
                <w:rFonts w:hint="eastAsia" w:ascii="宋体" w:hAnsi="宋体"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文件组成，共计3个文件。</w:t>
            </w:r>
          </w:p>
          <w:p>
            <w:pPr>
              <w:ind w:firstLine="482" w:firstLineChars="200"/>
              <w:rPr>
                <w:rFonts w:hint="eastAsia" w:ascii="宋体" w:hAnsi="宋体" w:eastAsia="宋体" w:cs="宋体"/>
                <w:b/>
                <w:sz w:val="24"/>
                <w:szCs w:val="24"/>
              </w:rPr>
            </w:pPr>
            <w:r>
              <w:rPr>
                <w:rFonts w:hint="eastAsia" w:ascii="宋体" w:hAnsi="宋体"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ascii="宋体" w:hAnsi="宋体"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ascii="宋体" w:hAnsi="宋体"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Cs/>
                <w:sz w:val="24"/>
                <w:szCs w:val="24"/>
              </w:rPr>
            </w:pPr>
            <w:r>
              <w:rPr>
                <w:rFonts w:hint="eastAsia" w:ascii="宋体" w:hAnsi="宋体" w:eastAsia="宋体" w:cs="宋体"/>
                <w:b/>
                <w:sz w:val="24"/>
                <w:szCs w:val="24"/>
              </w:rPr>
              <w:t>投标方式：在中国重汽e采通平台应标成功后，进入“供应商投标”环节，投递盖章扫描版电子标书（包含资质标书、技术标书、商务标书），</w:t>
            </w:r>
            <w:r>
              <w:rPr>
                <w:rFonts w:hint="eastAsia" w:ascii="宋体" w:hAnsi="宋体" w:eastAsia="宋体" w:cs="宋体"/>
                <w:sz w:val="24"/>
                <w:szCs w:val="24"/>
              </w:rPr>
              <w:t>若逾期未在中国重汽e采通平台上传电子标书，即便递交了纸版投标文件，一律视为无效投标</w:t>
            </w:r>
            <w:r>
              <w:rPr>
                <w:rFonts w:hint="eastAsia" w:ascii="宋体" w:hAnsi="宋体" w:eastAsia="宋体" w:cs="宋体"/>
                <w:b/>
                <w:sz w:val="24"/>
                <w:szCs w:val="24"/>
              </w:rPr>
              <w:t>。</w:t>
            </w:r>
          </w:p>
          <w:p>
            <w:pPr>
              <w:ind w:firstLine="420" w:firstLineChars="200"/>
              <w:rPr>
                <w:rFonts w:hint="eastAsia" w:ascii="宋体" w:hAnsi="宋体" w:eastAsia="宋体" w:cs="宋体"/>
                <w:bCs/>
                <w:sz w:val="24"/>
                <w:szCs w:val="24"/>
              </w:rPr>
            </w:pPr>
            <w:r>
              <w:rPr>
                <w:rFonts w:hint="eastAsia" w:ascii="宋体" w:hAnsi="宋体" w:eastAsia="宋体" w:cs="宋体"/>
                <w:bCs/>
              </w:rPr>
              <w:t xml:space="preserve"> </w:t>
            </w:r>
            <w:r>
              <w:rPr>
                <w:rFonts w:hint="eastAsia" w:ascii="宋体" w:hAnsi="宋体" w:eastAsia="宋体" w:cs="宋体"/>
                <w:bCs/>
                <w:sz w:val="24"/>
                <w:szCs w:val="24"/>
              </w:rPr>
              <w:t>纸质版投标文件的份数要求为</w:t>
            </w:r>
            <w:r>
              <w:rPr>
                <w:rFonts w:hint="eastAsia" w:ascii="宋体" w:hAnsi="宋体" w:eastAsia="宋体" w:cs="宋体"/>
                <w:b/>
                <w:sz w:val="24"/>
                <w:szCs w:val="24"/>
                <w:highlight w:val="yellow"/>
              </w:rPr>
              <w:t>一式三份，正本一份，副本两份</w:t>
            </w:r>
            <w:r>
              <w:rPr>
                <w:rFonts w:hint="eastAsia" w:ascii="宋体" w:hAnsi="宋体"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ascii="宋体" w:hAnsi="宋体" w:eastAsia="宋体" w:cs="宋体"/>
                <w:b/>
                <w:sz w:val="24"/>
                <w:szCs w:val="24"/>
              </w:rPr>
              <w:t>同类文件封装在一个包封里，包封表面按照附件13标注文件信息；共计三个包封</w:t>
            </w:r>
            <w:r>
              <w:rPr>
                <w:rFonts w:hint="eastAsia" w:ascii="宋体" w:hAnsi="宋体" w:eastAsia="宋体" w:cs="宋体"/>
                <w:bCs/>
                <w:sz w:val="24"/>
                <w:szCs w:val="24"/>
              </w:rPr>
              <w:t>。</w:t>
            </w:r>
          </w:p>
          <w:p>
            <w:pPr>
              <w:pStyle w:val="20"/>
              <w:ind w:firstLine="480" w:firstLineChars="200"/>
              <w:rPr>
                <w:rFonts w:hint="eastAsia" w:ascii="宋体" w:hAnsi="宋体" w:eastAsia="宋体" w:cs="宋体"/>
                <w:bCs/>
                <w:sz w:val="24"/>
                <w:szCs w:val="24"/>
              </w:rPr>
            </w:pPr>
            <w:r>
              <w:rPr>
                <w:rFonts w:hint="eastAsia" w:hAnsi="宋体" w:eastAsia="宋体" w:cs="宋体"/>
                <w:bCs/>
                <w:sz w:val="24"/>
                <w:szCs w:val="24"/>
                <w:lang w:val="en-US" w:eastAsia="zh-CN"/>
              </w:rPr>
              <w:t>线下</w:t>
            </w:r>
            <w:r>
              <w:rPr>
                <w:rFonts w:hint="eastAsia" w:ascii="宋体" w:hAnsi="宋体" w:eastAsia="宋体" w:cs="宋体"/>
                <w:bCs/>
                <w:sz w:val="24"/>
                <w:szCs w:val="24"/>
              </w:rPr>
              <w:t>开标，自行携带纸质投标文件于开标前至开标地点即可。</w:t>
            </w:r>
          </w:p>
          <w:p>
            <w:pPr>
              <w:pStyle w:val="20"/>
              <w:ind w:firstLine="480" w:firstLineChars="200"/>
              <w:rPr>
                <w:rFonts w:hint="eastAsia" w:ascii="宋体" w:hAnsi="宋体" w:eastAsia="宋体" w:cs="宋体"/>
                <w:bCs/>
                <w:sz w:val="24"/>
                <w:szCs w:val="24"/>
              </w:rPr>
            </w:pPr>
            <w:r>
              <w:rPr>
                <w:rFonts w:hint="eastAsia" w:ascii="宋体" w:hAnsi="宋体" w:eastAsia="宋体" w:cs="宋体"/>
                <w:bCs/>
                <w:sz w:val="24"/>
                <w:szCs w:val="24"/>
              </w:rPr>
              <w:t>线上开标，纸质投标文件需在开标日前两天，邮寄到指定地址。</w:t>
            </w:r>
          </w:p>
          <w:p>
            <w:pPr>
              <w:pStyle w:val="20"/>
              <w:rPr>
                <w:rFonts w:hint="eastAsia" w:ascii="宋体" w:hAnsi="宋体" w:eastAsia="宋体" w:cs="宋体"/>
                <w:b w:val="0"/>
                <w:bCs w:val="0"/>
                <w:color w:val="000000"/>
                <w:sz w:val="24"/>
                <w:szCs w:val="24"/>
                <w:highlight w:val="yellow"/>
              </w:rPr>
            </w:pPr>
            <w:r>
              <w:rPr>
                <w:rFonts w:hint="eastAsia" w:ascii="宋体" w:hAnsi="宋体" w:eastAsia="宋体" w:cs="宋体"/>
                <w:b/>
                <w:sz w:val="24"/>
                <w:szCs w:val="24"/>
              </w:rPr>
              <w:t>邮寄地址：</w:t>
            </w:r>
            <w:r>
              <w:rPr>
                <w:rFonts w:hint="eastAsia" w:ascii="宋体" w:hAnsi="宋体" w:eastAsia="宋体" w:cs="宋体"/>
                <w:b w:val="0"/>
                <w:bCs w:val="0"/>
                <w:color w:val="000000"/>
                <w:sz w:val="24"/>
                <w:szCs w:val="24"/>
                <w:highlight w:val="yellow"/>
              </w:rPr>
              <w:t>山东省济南市历城区华奥路777号</w:t>
            </w:r>
          </w:p>
          <w:p>
            <w:pPr>
              <w:pStyle w:val="20"/>
              <w:rPr>
                <w:rFonts w:hint="default" w:ascii="宋体" w:hAnsi="宋体" w:eastAsia="宋体" w:cs="宋体"/>
                <w:color w:val="000000"/>
                <w:sz w:val="24"/>
                <w:szCs w:val="24"/>
                <w:lang w:val="en-US"/>
              </w:rPr>
            </w:pPr>
            <w:r>
              <w:rPr>
                <w:rFonts w:hint="eastAsia" w:ascii="宋体" w:hAnsi="宋体" w:eastAsia="宋体" w:cs="宋体"/>
                <w:b/>
                <w:bCs/>
                <w:color w:val="000000"/>
                <w:sz w:val="24"/>
                <w:szCs w:val="24"/>
              </w:rPr>
              <w:t>联系人及联系方式</w:t>
            </w:r>
            <w:r>
              <w:rPr>
                <w:rFonts w:hint="eastAsia" w:ascii="宋体" w:hAnsi="宋体" w:eastAsia="宋体" w:cs="宋体"/>
                <w:color w:val="000000"/>
                <w:sz w:val="24"/>
                <w:szCs w:val="24"/>
                <w:highlight w:val="yellow"/>
              </w:rPr>
              <w:t>：</w:t>
            </w:r>
            <w:r>
              <w:rPr>
                <w:rFonts w:hint="eastAsia" w:hAnsi="宋体" w:eastAsia="宋体" w:cs="宋体"/>
                <w:b w:val="0"/>
                <w:bCs w:val="0"/>
                <w:color w:val="000000"/>
                <w:sz w:val="24"/>
                <w:szCs w:val="24"/>
                <w:highlight w:val="yellow"/>
                <w:lang w:val="en-US" w:eastAsia="zh-CN"/>
              </w:rPr>
              <w:t>杨淑超</w:t>
            </w:r>
            <w:r>
              <w:rPr>
                <w:rFonts w:hint="eastAsia" w:ascii="宋体" w:hAnsi="宋体" w:eastAsia="宋体" w:cs="宋体"/>
                <w:b w:val="0"/>
                <w:bCs w:val="0"/>
                <w:color w:val="000000"/>
                <w:sz w:val="24"/>
                <w:szCs w:val="24"/>
                <w:highlight w:val="yellow"/>
              </w:rPr>
              <w:t>/</w:t>
            </w:r>
            <w:r>
              <w:rPr>
                <w:rFonts w:hint="eastAsia" w:hAnsi="宋体" w:eastAsia="宋体" w:cs="宋体"/>
                <w:b w:val="0"/>
                <w:bCs w:val="0"/>
                <w:snapToGrid w:val="0"/>
                <w:kern w:val="0"/>
                <w:sz w:val="24"/>
                <w:szCs w:val="24"/>
                <w:highlight w:val="yellow"/>
                <w:lang w:val="en-US" w:eastAsia="zh-CN"/>
              </w:rPr>
              <w:t>17860605820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spacing w:line="460" w:lineRule="exact"/>
              <w:ind w:firstLine="482" w:firstLineChars="200"/>
              <w:rPr>
                <w:rFonts w:hint="eastAsia" w:ascii="宋体" w:hAnsi="宋体" w:eastAsia="宋体" w:cs="宋体"/>
                <w:color w:val="000000"/>
                <w:sz w:val="24"/>
                <w:szCs w:val="24"/>
                <w:highlight w:val="yellow"/>
              </w:rPr>
            </w:pPr>
            <w:r>
              <w:rPr>
                <w:rFonts w:hint="eastAsia" w:ascii="宋体" w:hAnsi="宋体" w:eastAsia="宋体" w:cs="宋体"/>
                <w:b/>
                <w:bCs/>
                <w:sz w:val="24"/>
              </w:rPr>
              <w:t>纸质版投标文件和电子版投标文件必须保证内容一致；如确实存在不一致的，以电子标书为准，同时要求投标方对纸版标书做出修正。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0"/>
              <w:rPr>
                <w:rFonts w:hint="eastAsia" w:ascii="宋体" w:hAnsi="宋体" w:eastAsia="宋体" w:cs="宋体"/>
                <w:b/>
                <w:sz w:val="24"/>
                <w:szCs w:val="24"/>
              </w:rPr>
            </w:pPr>
            <w:r>
              <w:rPr>
                <w:rFonts w:hint="eastAsia" w:ascii="宋体"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color w:val="000000"/>
                <w:kern w:val="2"/>
                <w:sz w:val="24"/>
                <w:szCs w:val="24"/>
                <w:highlight w:val="yellow"/>
                <w:u w:val="single"/>
                <w:lang w:val="en-US" w:eastAsia="zh-CN" w:bidi="ar-SA"/>
              </w:rPr>
              <w:t>2025年09月</w:t>
            </w:r>
            <w:r>
              <w:rPr>
                <w:rFonts w:hint="eastAsia" w:hAnsi="宋体" w:eastAsia="宋体" w:cs="宋体"/>
                <w:color w:val="000000"/>
                <w:kern w:val="2"/>
                <w:sz w:val="24"/>
                <w:szCs w:val="24"/>
                <w:highlight w:val="yellow"/>
                <w:u w:val="single"/>
                <w:lang w:val="en-US" w:eastAsia="zh-CN" w:bidi="ar-SA"/>
              </w:rPr>
              <w:t>22</w:t>
            </w:r>
            <w:r>
              <w:rPr>
                <w:rFonts w:hint="eastAsia" w:ascii="宋体" w:hAnsi="宋体" w:eastAsia="宋体" w:cs="宋体"/>
                <w:color w:val="000000"/>
                <w:kern w:val="2"/>
                <w:sz w:val="24"/>
                <w:szCs w:val="24"/>
                <w:highlight w:val="yellow"/>
                <w:u w:val="single"/>
                <w:lang w:val="en-US" w:eastAsia="zh-CN" w:bidi="ar-SA"/>
              </w:rPr>
              <w:t>日8:00</w:t>
            </w:r>
          </w:p>
          <w:p>
            <w:pPr>
              <w:pStyle w:val="20"/>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注：请务必在投标文件递交截止时间前完成投标操作，截止时间精确到秒，逾期将无法投标。请自行掌握时间安排，避免无法投标。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电汇（境内）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0"/>
              <w:rPr>
                <w:rFonts w:hint="eastAsia" w:ascii="宋体" w:hAnsi="宋体" w:eastAsia="宋体" w:cs="宋体"/>
                <w:sz w:val="24"/>
                <w:szCs w:val="24"/>
                <w:highlight w:val="yellow"/>
                <w:u w:val="single"/>
              </w:rPr>
            </w:pPr>
            <w:r>
              <w:rPr>
                <w:rFonts w:hint="eastAsia" w:ascii="宋体" w:hAnsi="宋体" w:eastAsia="宋体" w:cs="宋体"/>
                <w:sz w:val="24"/>
                <w:szCs w:val="24"/>
                <w:highlight w:val="yellow"/>
              </w:rPr>
              <w:t>Ⅰ.境内投标单位缴纳投标保证金信息：</w:t>
            </w:r>
          </w:p>
          <w:p>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w:t>
            </w:r>
            <w:r>
              <w:rPr>
                <w:rFonts w:hint="eastAsia" w:ascii="宋体" w:hAnsi="宋体" w:eastAsia="宋体" w:cs="宋体"/>
                <w:sz w:val="24"/>
                <w:szCs w:val="24"/>
                <w:highlight w:val="yellow"/>
              </w:rPr>
              <w:t>000.00元</w:t>
            </w:r>
          </w:p>
          <w:p>
            <w:pPr>
              <w:tabs>
                <w:tab w:val="left" w:pos="932"/>
              </w:tabs>
              <w:ind w:firstLine="482" w:firstLineChars="20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lang w:eastAsia="zh-CN"/>
              </w:rPr>
              <w:t>中国重汽集团济南动力有限公司</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中国建设银行股份有限公司济南天桥支行</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hint="eastAsia"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pStyle w:val="38"/>
              <w:spacing w:after="0" w:line="240" w:lineRule="auto"/>
              <w:ind w:left="0" w:leftChars="0" w:firstLine="480"/>
              <w:rPr>
                <w:rFonts w:hint="eastAsia" w:ascii="宋体" w:hAnsi="宋体" w:eastAsia="宋体" w:cs="宋体"/>
                <w:sz w:val="24"/>
                <w:szCs w:val="24"/>
              </w:rPr>
            </w:pPr>
            <w:r>
              <w:rPr>
                <w:rFonts w:hint="eastAsia" w:ascii="宋体" w:hAnsi="宋体" w:eastAsia="宋体" w:cs="宋体"/>
                <w:sz w:val="24"/>
                <w:szCs w:val="24"/>
              </w:rPr>
              <w:t>投标保证金应从投标人基本账户转出至上述账户并到账，否则视为无效投标。</w:t>
            </w:r>
          </w:p>
          <w:p>
            <w:pPr>
              <w:pStyle w:val="38"/>
              <w:spacing w:after="0" w:line="240" w:lineRule="auto"/>
              <w:ind w:left="0" w:leftChars="0" w:firstLine="480"/>
              <w:rPr>
                <w:rFonts w:hint="eastAsia" w:ascii="宋体" w:hAnsi="宋体" w:eastAsia="宋体" w:cs="宋体"/>
                <w:sz w:val="24"/>
                <w:szCs w:val="24"/>
              </w:rPr>
            </w:pPr>
            <w:r>
              <w:rPr>
                <w:rFonts w:hint="eastAsia" w:ascii="宋体" w:hAnsi="宋体" w:eastAsia="宋体" w:cs="宋体"/>
                <w:sz w:val="24"/>
                <w:szCs w:val="24"/>
              </w:rPr>
              <w:t>Ⅱ.</w:t>
            </w:r>
            <w:r>
              <w:rPr>
                <w:rFonts w:hint="eastAsia" w:ascii="宋体" w:hAnsi="宋体" w:eastAsia="宋体" w:cs="宋体"/>
                <w:sz w:val="24"/>
                <w:szCs w:val="24"/>
                <w:highlight w:val="yellow"/>
              </w:rPr>
              <w:t>转账附言：公司名称+项目名称+投标保证金（方便后期核对退款）。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ascii="宋体" w:hAnsi="宋体" w:eastAsia="宋体" w:cs="宋体"/>
                <w:sz w:val="24"/>
                <w:szCs w:val="24"/>
                <w:u w:val="single"/>
              </w:rPr>
            </w:pPr>
            <w:r>
              <w:rPr>
                <w:rFonts w:hint="eastAsia" w:ascii="宋体" w:hAnsi="宋体" w:eastAsia="宋体" w:cs="宋体"/>
                <w:b/>
                <w:bCs/>
                <w:sz w:val="24"/>
                <w:szCs w:val="24"/>
              </w:rPr>
              <w:t>保证金缴纳截止时间：</w:t>
            </w:r>
            <w:r>
              <w:rPr>
                <w:rFonts w:hint="eastAsia" w:ascii="宋体" w:hAnsi="宋体" w:eastAsia="宋体" w:cs="宋体"/>
                <w:highlight w:val="yellow"/>
                <w:u w:val="single"/>
              </w:rPr>
              <w:t>2025年0</w:t>
            </w:r>
            <w:r>
              <w:rPr>
                <w:rFonts w:hint="eastAsia" w:eastAsia="宋体" w:cs="宋体"/>
                <w:highlight w:val="yellow"/>
                <w:u w:val="single"/>
                <w:lang w:val="en-US" w:eastAsia="zh-CN"/>
              </w:rPr>
              <w:t>9</w:t>
            </w:r>
            <w:r>
              <w:rPr>
                <w:rFonts w:hint="eastAsia" w:ascii="宋体" w:hAnsi="宋体" w:eastAsia="宋体" w:cs="宋体"/>
                <w:highlight w:val="yellow"/>
                <w:u w:val="single"/>
              </w:rPr>
              <w:t>月</w:t>
            </w:r>
            <w:r>
              <w:rPr>
                <w:rFonts w:hint="eastAsia" w:eastAsia="宋体" w:cs="宋体"/>
                <w:highlight w:val="yellow"/>
                <w:u w:val="single"/>
                <w:lang w:val="en-US" w:eastAsia="zh-CN"/>
              </w:rPr>
              <w:t>21</w:t>
            </w:r>
            <w:r>
              <w:rPr>
                <w:rFonts w:hint="eastAsia" w:ascii="宋体" w:hAnsi="宋体" w:eastAsia="宋体" w:cs="宋体"/>
                <w:highlight w:val="yellow"/>
                <w:u w:val="single"/>
              </w:rPr>
              <w:t>日17时00分00秒</w:t>
            </w:r>
          </w:p>
          <w:p>
            <w:pPr>
              <w:pStyle w:val="38"/>
              <w:spacing w:after="0" w:line="240" w:lineRule="auto"/>
              <w:ind w:left="0" w:leftChars="0" w:firstLine="480"/>
              <w:rPr>
                <w:rFonts w:hint="eastAsia" w:ascii="宋体" w:hAnsi="宋体" w:eastAsia="宋体" w:cs="宋体"/>
                <w:sz w:val="24"/>
                <w:szCs w:val="24"/>
              </w:rPr>
            </w:pPr>
            <w:r>
              <w:rPr>
                <w:rFonts w:hint="eastAsia" w:ascii="宋体" w:hAnsi="宋体" w:eastAsia="宋体" w:cs="宋体"/>
                <w:sz w:val="24"/>
                <w:szCs w:val="24"/>
              </w:rPr>
              <w:t>投标人应充分考虑银行信息交换时间，由此带来的保证金不能按时到帐的责任由投标人自行承担。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0"/>
              <w:rPr>
                <w:rFonts w:hint="eastAsia" w:ascii="宋体" w:hAnsi="宋体" w:eastAsia="宋体" w:cs="宋体"/>
                <w:sz w:val="24"/>
                <w:szCs w:val="24"/>
              </w:rPr>
            </w:pPr>
            <w:r>
              <w:rPr>
                <w:rFonts w:hint="eastAsia" w:ascii="宋体" w:hAnsi="宋体" w:eastAsia="宋体" w:cs="宋体"/>
                <w:sz w:val="24"/>
                <w:szCs w:val="24"/>
              </w:rPr>
              <w:t>对于未中标的投标人，投标保证金将于招标人内部完成中标人评审并确认最终中标人后在30个工作日内予以原路返还（无息）；对于中标方，投标保证金将在签订合同后30个工作日内原路返还（无息）。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rPr>
              <w:t>开标时间：</w:t>
            </w:r>
            <w:r>
              <w:rPr>
                <w:rFonts w:hint="eastAsia" w:ascii="宋体" w:hAnsi="宋体" w:eastAsia="宋体" w:cs="宋体"/>
                <w:b w:val="0"/>
                <w:bCs w:val="0"/>
                <w:sz w:val="24"/>
                <w:szCs w:val="24"/>
                <w:highlight w:val="yellow"/>
                <w:u w:val="single"/>
              </w:rPr>
              <w:t>2025年0</w:t>
            </w:r>
            <w:r>
              <w:rPr>
                <w:rFonts w:hint="eastAsia" w:ascii="宋体" w:hAnsi="宋体" w:eastAsia="宋体" w:cs="宋体"/>
                <w:b w:val="0"/>
                <w:bCs w:val="0"/>
                <w:sz w:val="24"/>
                <w:szCs w:val="24"/>
                <w:highlight w:val="yellow"/>
                <w:u w:val="single"/>
                <w:lang w:val="en-US" w:eastAsia="zh-CN"/>
              </w:rPr>
              <w:t>9</w:t>
            </w:r>
            <w:r>
              <w:rPr>
                <w:rFonts w:hint="eastAsia" w:ascii="宋体" w:hAnsi="宋体" w:eastAsia="宋体" w:cs="宋体"/>
                <w:b w:val="0"/>
                <w:bCs w:val="0"/>
                <w:sz w:val="24"/>
                <w:szCs w:val="24"/>
                <w:highlight w:val="yellow"/>
                <w:u w:val="single"/>
              </w:rPr>
              <w:t>月</w:t>
            </w:r>
            <w:r>
              <w:rPr>
                <w:rFonts w:hint="eastAsia" w:ascii="宋体" w:hAnsi="宋体" w:eastAsia="宋体" w:cs="宋体"/>
                <w:b w:val="0"/>
                <w:bCs w:val="0"/>
                <w:sz w:val="24"/>
                <w:szCs w:val="24"/>
                <w:highlight w:val="yellow"/>
                <w:u w:val="single"/>
                <w:lang w:val="en-US" w:eastAsia="zh-CN"/>
              </w:rPr>
              <w:t>22</w:t>
            </w:r>
            <w:r>
              <w:rPr>
                <w:rFonts w:hint="eastAsia" w:ascii="宋体" w:hAnsi="宋体" w:eastAsia="宋体" w:cs="宋体"/>
                <w:b w:val="0"/>
                <w:bCs w:val="0"/>
                <w:sz w:val="24"/>
                <w:szCs w:val="24"/>
                <w:highlight w:val="yellow"/>
                <w:u w:val="single"/>
              </w:rPr>
              <w:t>日</w:t>
            </w:r>
            <w:r>
              <w:rPr>
                <w:rFonts w:hint="eastAsia" w:ascii="宋体" w:hAnsi="宋体" w:eastAsia="宋体" w:cs="宋体"/>
                <w:b w:val="0"/>
                <w:bCs w:val="0"/>
                <w:sz w:val="24"/>
                <w:szCs w:val="24"/>
                <w:highlight w:val="yellow"/>
                <w:u w:val="single"/>
                <w:lang w:val="en-US" w:eastAsia="zh-CN"/>
              </w:rPr>
              <w:t>9</w:t>
            </w:r>
            <w:r>
              <w:rPr>
                <w:rFonts w:hint="eastAsia" w:ascii="宋体" w:hAnsi="宋体" w:eastAsia="宋体" w:cs="宋体"/>
                <w:b w:val="0"/>
                <w:bCs w:val="0"/>
                <w:sz w:val="24"/>
                <w:szCs w:val="24"/>
                <w:highlight w:val="yellow"/>
                <w:u w:val="single"/>
              </w:rPr>
              <w:t>:00</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b/>
                <w:bCs/>
                <w:sz w:val="24"/>
                <w:szCs w:val="24"/>
                <w:lang w:val="en-US" w:eastAsia="zh-CN"/>
              </w:rPr>
              <w:t>重汽科技大厦三楼会议室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评标方法：资质标审核→技术标评审→商务标评审。技术标入围后，原则上选取</w:t>
            </w:r>
            <w:r>
              <w:rPr>
                <w:rFonts w:hint="eastAsia" w:ascii="宋体" w:hAnsi="宋体" w:eastAsia="宋体" w:cs="宋体"/>
                <w:b/>
                <w:bCs/>
                <w:color w:val="000000"/>
                <w:sz w:val="24"/>
                <w:szCs w:val="24"/>
              </w:rPr>
              <w:t>合理最低价中标</w:t>
            </w:r>
            <w:r>
              <w:rPr>
                <w:rFonts w:hint="eastAsia" w:ascii="宋体" w:hAnsi="宋体" w:eastAsia="宋体" w:cs="宋体"/>
                <w:sz w:val="24"/>
                <w:szCs w:val="24"/>
              </w:rPr>
              <w:t>。具体详见“</w:t>
            </w:r>
            <w:r>
              <w:rPr>
                <w:rFonts w:hint="eastAsia" w:ascii="宋体" w:hAnsi="宋体" w:eastAsia="宋体" w:cs="宋体"/>
                <w:sz w:val="24"/>
                <w:szCs w:val="24"/>
                <w:highlight w:val="none"/>
              </w:rPr>
              <w:t>第二部分投标须知第六条：评标原则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交货期：</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hint="eastAsia" w:ascii="宋体" w:hAnsi="宋体" w:eastAsia="宋体" w:cs="宋体"/>
                <w:color w:val="000000"/>
                <w:sz w:val="24"/>
                <w:szCs w:val="24"/>
                <w:highlight w:val="yellow"/>
                <w:u w:val="single"/>
                <w:lang w:val="en-US" w:eastAsia="zh-CN"/>
              </w:rPr>
              <w:t>9</w:t>
            </w:r>
            <w:r>
              <w:rPr>
                <w:rFonts w:hint="eastAsia" w:ascii="宋体" w:hAnsi="宋体" w:eastAsia="宋体" w:cs="宋体"/>
                <w:color w:val="000000"/>
                <w:sz w:val="24"/>
                <w:szCs w:val="24"/>
                <w:highlight w:val="yellow"/>
                <w:u w:val="single"/>
              </w:rPr>
              <w:t>0</w:t>
            </w:r>
            <w:r>
              <w:rPr>
                <w:rFonts w:hint="eastAsia" w:ascii="宋体" w:hAnsi="宋体" w:eastAsia="宋体" w:cs="宋体"/>
                <w:color w:val="000000"/>
                <w:sz w:val="24"/>
                <w:szCs w:val="24"/>
                <w:highlight w:val="yellow"/>
              </w:rPr>
              <w:t>个日历日</w:t>
            </w:r>
            <w:r>
              <w:rPr>
                <w:rFonts w:hint="eastAsia" w:ascii="宋体" w:hAnsi="宋体" w:eastAsia="宋体" w:cs="宋体"/>
                <w:color w:val="000000"/>
                <w:sz w:val="24"/>
                <w:szCs w:val="24"/>
              </w:rPr>
              <w:t>之内交货至供货地点。</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w:t>
            </w:r>
            <w:r>
              <w:rPr>
                <w:rFonts w:hint="eastAsia" w:ascii="宋体" w:hAnsi="宋体" w:eastAsia="宋体" w:cs="宋体"/>
                <w:color w:val="000000"/>
                <w:sz w:val="24"/>
                <w:szCs w:val="24"/>
                <w:highlight w:val="yellow"/>
                <w:u w:val="single"/>
                <w:lang w:val="en-US" w:eastAsia="zh-CN"/>
              </w:rPr>
              <w:t>9</w:t>
            </w:r>
            <w:r>
              <w:rPr>
                <w:rFonts w:hint="eastAsia" w:ascii="宋体" w:hAnsi="宋体" w:eastAsia="宋体" w:cs="宋体"/>
                <w:color w:val="000000"/>
                <w:sz w:val="24"/>
                <w:szCs w:val="24"/>
                <w:highlight w:val="yellow"/>
                <w:u w:val="single"/>
              </w:rPr>
              <w:t>0</w:t>
            </w:r>
            <w:r>
              <w:rPr>
                <w:rFonts w:hint="eastAsia" w:ascii="宋体" w:hAnsi="宋体" w:eastAsia="宋体" w:cs="宋体"/>
                <w:color w:val="000000"/>
                <w:sz w:val="24"/>
                <w:szCs w:val="24"/>
                <w:highlight w:val="yellow"/>
              </w:rPr>
              <w:t>个日历日</w:t>
            </w:r>
            <w:r>
              <w:rPr>
                <w:rFonts w:hint="eastAsia" w:ascii="宋体" w:hAnsi="宋体" w:eastAsia="宋体" w:cs="宋体"/>
                <w:color w:val="000000"/>
                <w:sz w:val="24"/>
                <w:szCs w:val="24"/>
              </w:rPr>
              <w:t>之内安装调试完毕，并投入使用。</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w:t>
            </w:r>
            <w:r>
              <w:rPr>
                <w:rFonts w:hint="eastAsia" w:ascii="宋体" w:hAnsi="宋体" w:eastAsia="宋体" w:cs="宋体"/>
                <w:color w:val="000000"/>
                <w:sz w:val="24"/>
                <w:szCs w:val="24"/>
                <w:highlight w:val="yellow"/>
                <w:u w:val="single"/>
                <w:lang w:val="en-US" w:eastAsia="zh-CN"/>
              </w:rPr>
              <w:t>3</w:t>
            </w:r>
            <w:r>
              <w:rPr>
                <w:rFonts w:hint="eastAsia" w:ascii="宋体" w:hAnsi="宋体" w:eastAsia="宋体" w:cs="宋体"/>
                <w:color w:val="000000"/>
                <w:sz w:val="24"/>
                <w:szCs w:val="24"/>
                <w:highlight w:val="yellow"/>
                <w:u w:val="single"/>
              </w:rPr>
              <w:t>0</w:t>
            </w:r>
            <w:r>
              <w:rPr>
                <w:rFonts w:hint="eastAsia" w:ascii="宋体" w:hAnsi="宋体" w:eastAsia="宋体" w:cs="宋体"/>
                <w:color w:val="000000"/>
                <w:sz w:val="24"/>
                <w:szCs w:val="24"/>
                <w:highlight w:val="yellow"/>
              </w:rPr>
              <w:t>个日历日</w:t>
            </w:r>
            <w:r>
              <w:rPr>
                <w:rFonts w:hint="eastAsia" w:ascii="宋体" w:hAnsi="宋体" w:eastAsia="宋体" w:cs="宋体"/>
                <w:color w:val="000000"/>
                <w:sz w:val="24"/>
                <w:szCs w:val="24"/>
              </w:rPr>
              <w:t>之内完成终验收。</w:t>
            </w:r>
          </w:p>
          <w:p>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安装调试工期超过</w:t>
            </w:r>
            <w:r>
              <w:rPr>
                <w:rFonts w:hint="eastAsia" w:ascii="宋体" w:hAnsi="宋体" w:eastAsia="宋体" w:cs="宋体"/>
                <w:color w:val="000000"/>
                <w:sz w:val="24"/>
                <w:szCs w:val="24"/>
                <w:highlight w:val="yellow"/>
                <w:u w:val="single"/>
              </w:rPr>
              <w:t>20个日历日</w:t>
            </w:r>
            <w:r>
              <w:rPr>
                <w:rFonts w:hint="eastAsia" w:ascii="宋体"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rPr>
              <w:t>交货方式：</w:t>
            </w:r>
            <w:r>
              <w:rPr>
                <w:rFonts w:hint="eastAsia" w:ascii="宋体" w:hAnsi="宋体" w:eastAsia="宋体" w:cs="宋体"/>
                <w:color w:val="000000"/>
                <w:sz w:val="24"/>
                <w:szCs w:val="24"/>
              </w:rPr>
              <w:t>交钥匙方式。</w:t>
            </w:r>
          </w:p>
          <w:p>
            <w:pPr>
              <w:pStyle w:val="20"/>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rPr>
              <w:t>交货地点：</w:t>
            </w:r>
            <w:r>
              <w:rPr>
                <w:rFonts w:hint="eastAsia" w:ascii="宋体" w:hAnsi="宋体" w:eastAsia="宋体" w:cs="宋体"/>
                <w:color w:val="000000"/>
                <w:sz w:val="24"/>
                <w:szCs w:val="24"/>
              </w:rPr>
              <w:t>济南市高新区华奥路777号重汽科技园区营销中心3楼。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质保期：自设备终验收文件最终签署之日起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8"/>
              <w:spacing w:after="0" w:line="240" w:lineRule="auto"/>
              <w:ind w:left="0" w:leftChars="0" w:firstLine="482"/>
              <w:rPr>
                <w:rFonts w:hint="eastAsia" w:ascii="宋体" w:hAnsi="宋体" w:eastAsia="宋体" w:cs="宋体"/>
                <w:sz w:val="24"/>
                <w:szCs w:val="24"/>
              </w:rPr>
            </w:pPr>
            <w:r>
              <w:rPr>
                <w:rFonts w:hint="eastAsia" w:ascii="宋体" w:hAnsi="宋体" w:eastAsia="宋体" w:cs="宋体"/>
                <w:b/>
                <w:bCs/>
                <w:sz w:val="24"/>
                <w:szCs w:val="24"/>
                <w:highlight w:val="yellow"/>
                <w:u w:val="single"/>
              </w:rPr>
              <w:t>Ⅰ.国内付款方式：半年期商业汇票（包括银行承兑汇票和商业承兑汇票）</w:t>
            </w:r>
          </w:p>
          <w:p>
            <w:pPr>
              <w:pStyle w:val="14"/>
              <w:ind w:firstLine="420" w:firstLineChars="200"/>
              <w:rPr>
                <w:rFonts w:hint="eastAsia" w:ascii="宋体" w:hAnsi="宋体" w:eastAsia="宋体" w:cs="宋体"/>
                <w:sz w:val="24"/>
                <w:szCs w:val="24"/>
              </w:rPr>
            </w:pPr>
            <w:r>
              <w:rPr>
                <w:rFonts w:hint="eastAsia" w:ascii="宋体" w:hAnsi="宋体" w:eastAsia="宋体" w:cs="宋体"/>
              </w:rPr>
              <w:t>（</w:t>
            </w:r>
            <w:r>
              <w:rPr>
                <w:rFonts w:hint="eastAsia" w:ascii="宋体" w:hAnsi="宋体" w:eastAsia="宋体" w:cs="宋体"/>
                <w:sz w:val="24"/>
                <w:szCs w:val="24"/>
              </w:rPr>
              <w:t>1）合同生效设备全部到齐无质量问题通过买方初步验收后, 卖方提交金额为合同含税价款30%的收据及合同全额30%增值税专用发票（税率为13 %，正本一份，复印件二份），经买方依照财务制度审核无误后【30】日后支付。</w:t>
            </w:r>
          </w:p>
          <w:p>
            <w:pPr>
              <w:pStyle w:val="14"/>
              <w:ind w:firstLine="480" w:firstLineChars="200"/>
              <w:rPr>
                <w:rFonts w:hint="eastAsia" w:ascii="宋体" w:hAnsi="宋体" w:eastAsia="宋体" w:cs="宋体"/>
                <w:sz w:val="24"/>
                <w:szCs w:val="24"/>
              </w:rPr>
            </w:pPr>
            <w:r>
              <w:rPr>
                <w:rFonts w:hint="eastAsia" w:ascii="宋体" w:hAnsi="宋体" w:eastAsia="宋体" w:cs="宋体"/>
                <w:sz w:val="24"/>
                <w:szCs w:val="24"/>
              </w:rPr>
              <w:t>（2）设备全部到齐无质量问题，经安装、调试最终验收合格后，卖方提交金额为合同含税价款60 %的收据及合同全额70%增值税专用发票（税率为13 %，正本一份，复印件二份）并附带该套合同设备最终验收报告的原件及其复印件两份，经买方依照财务制度审核无误后【30】日后支付。</w:t>
            </w:r>
          </w:p>
          <w:p>
            <w:pPr>
              <w:pStyle w:val="14"/>
              <w:ind w:firstLine="480" w:firstLineChars="200"/>
              <w:rPr>
                <w:rFonts w:hint="eastAsia" w:ascii="宋体" w:hAnsi="宋体" w:eastAsia="宋体" w:cs="宋体"/>
                <w:sz w:val="24"/>
                <w:szCs w:val="24"/>
              </w:rPr>
            </w:pPr>
            <w:r>
              <w:rPr>
                <w:rFonts w:hint="eastAsia" w:ascii="宋体" w:hAnsi="宋体" w:eastAsia="宋体" w:cs="宋体"/>
                <w:sz w:val="24"/>
                <w:szCs w:val="24"/>
              </w:rPr>
              <w:t>（3）合同含税总价款的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p>
            <w:pPr>
              <w:pStyle w:val="1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lang w:val="en-US" w:eastAsia="zh-CN"/>
              </w:rPr>
              <w:t>*付款方式及付款比例不允许偏离。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ind w:firstLine="480" w:firstLineChars="200"/>
              <w:rPr>
                <w:rFonts w:hint="eastAsia" w:ascii="宋体" w:hAnsi="宋体" w:eastAsia="宋体" w:cs="宋体"/>
                <w:bCs/>
                <w:sz w:val="24"/>
                <w:szCs w:val="24"/>
              </w:rPr>
            </w:pPr>
            <w:r>
              <w:rPr>
                <w:rFonts w:hint="eastAsia" w:ascii="宋体" w:hAnsi="宋体" w:eastAsia="宋体" w:cs="宋体"/>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4"/>
              <w:jc w:val="center"/>
              <w:rPr>
                <w:rFonts w:hint="eastAsia"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hint="eastAsia" w:ascii="宋体" w:hAnsi="宋体" w:eastAsia="宋体" w:cs="宋体"/>
                <w:sz w:val="24"/>
                <w:szCs w:val="24"/>
              </w:rPr>
            </w:pPr>
            <w:r>
              <w:rPr>
                <w:rFonts w:hint="eastAsia" w:ascii="宋体" w:hAnsi="宋体" w:eastAsia="宋体" w:cs="宋体"/>
                <w:sz w:val="24"/>
                <w:szCs w:val="24"/>
              </w:rPr>
              <w:t>中标人应在合同签订后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2"/>
    </w:tbl>
    <w:p>
      <w:pPr>
        <w:bidi w:val="0"/>
        <w:rPr>
          <w:rFonts w:hint="eastAsia" w:ascii="宋体" w:hAnsi="宋体" w:eastAsia="宋体" w:cs="宋体"/>
        </w:rPr>
        <w:sectPr>
          <w:headerReference r:id="rId7" w:type="default"/>
          <w:footerReference r:id="rId8" w:type="default"/>
          <w:pgSz w:w="11907" w:h="16840"/>
          <w:pgMar w:top="1304" w:right="1418" w:bottom="1304" w:left="1418" w:header="724" w:footer="851" w:gutter="0"/>
          <w:pgNumType w:start="7"/>
          <w:cols w:space="720" w:num="1"/>
          <w:docGrid w:linePitch="290" w:charSpace="-3931"/>
        </w:sectPr>
      </w:pPr>
      <w:bookmarkStart w:id="3" w:name="_Toc15609"/>
    </w:p>
    <w:p>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3"/>
    </w:p>
    <w:p>
      <w:pPr>
        <w:keepNext/>
        <w:keepLines/>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pPr>
        <w:spacing w:line="360" w:lineRule="auto"/>
        <w:ind w:left="1679" w:leftChars="228" w:hanging="1200" w:hangingChars="500"/>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4" w:name="OLE_LINK1"/>
      <w:r>
        <w:rPr>
          <w:rFonts w:hint="eastAsia" w:ascii="宋体" w:hAnsi="宋体" w:eastAsia="宋体" w:cs="Times New Roman"/>
          <w:color w:val="000000"/>
          <w:sz w:val="24"/>
          <w:szCs w:val="24"/>
        </w:rPr>
        <w:t>见《投标须知前附表》。</w:t>
      </w:r>
    </w:p>
    <w:bookmarkEnd w:id="4"/>
    <w:p>
      <w:pPr>
        <w:keepNext/>
        <w:keepLines/>
        <w:numPr>
          <w:ilvl w:val="0"/>
          <w:numId w:val="7"/>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pPr>
        <w:pStyle w:val="20"/>
        <w:spacing w:line="360" w:lineRule="auto"/>
        <w:ind w:firstLine="480" w:firstLineChars="200"/>
      </w:pPr>
      <w:r>
        <w:rPr>
          <w:rFonts w:hint="eastAsia" w:hAnsi="宋体" w:eastAsia="宋体" w:cs="Times New Roman"/>
          <w:color w:val="000000"/>
          <w:sz w:val="24"/>
          <w:szCs w:val="24"/>
        </w:rPr>
        <w:t>见《投标须知前附表》。</w:t>
      </w:r>
    </w:p>
    <w:p>
      <w:pPr>
        <w:spacing w:line="360" w:lineRule="auto"/>
        <w:ind w:firstLine="482" w:firstLineChars="200"/>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对于本项目需着重介绍的注意事项已通过以下带颜色文档进行标记。</w:t>
      </w:r>
    </w:p>
    <w:p>
      <w:pPr>
        <w:spacing w:line="360" w:lineRule="auto"/>
        <w:ind w:firstLine="482" w:firstLineChars="200"/>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pPr>
        <w:keepNext/>
        <w:keepLines/>
        <w:numPr>
          <w:ilvl w:val="0"/>
          <w:numId w:val="7"/>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pPr>
        <w:pStyle w:val="20"/>
        <w:ind w:firstLine="480" w:firstLineChars="200"/>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pPr>
        <w:keepNext/>
        <w:keepLines/>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人根据招标人在中国重汽官网等公开媒体上发布的招标信息，在“中国重汽e采通”平台报名。按照中国重汽e采通“SRM非生产供应商注册手册（附件15）”进行注册，进入“供应商应标”，选择对应的项目，点击“应标”后按照招标文件第三部分投标文件组成资格证明文件中的1.1-1.12准备资料并上传，资质审查通过即为报名成功，公示期间请尽快报名。</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投标保证金缴纳时，</w:t>
      </w:r>
      <w:r>
        <w:rPr>
          <w:rFonts w:hint="eastAsia" w:ascii="宋体" w:hAnsi="Courier New" w:eastAsia="宋体" w:cs="Times New Roman"/>
          <w:b/>
          <w:bCs/>
          <w:color w:val="000000"/>
          <w:sz w:val="24"/>
          <w:szCs w:val="24"/>
        </w:rPr>
        <w:t>务必备注所投标的项目名称</w:t>
      </w:r>
      <w:r>
        <w:rPr>
          <w:rFonts w:hint="eastAsia" w:ascii="宋体" w:hAnsi="Courier New" w:eastAsia="宋体" w:cs="Times New Roman"/>
          <w:color w:val="000000"/>
          <w:sz w:val="24"/>
          <w:szCs w:val="24"/>
        </w:rPr>
        <w:t>。</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不按要求报名的，或因未提供相关信息导致后期无法退回保证金的，需投标人承担责任。</w:t>
      </w:r>
    </w:p>
    <w:p>
      <w:pPr>
        <w:pStyle w:val="20"/>
        <w:numPr>
          <w:ilvl w:val="0"/>
          <w:numId w:val="8"/>
        </w:numPr>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投标条件</w:t>
      </w:r>
    </w:p>
    <w:p>
      <w:pPr>
        <w:pStyle w:val="20"/>
        <w:ind w:firstLine="480"/>
        <w:rPr>
          <w:rFonts w:hAnsi="宋体" w:cs="宋体"/>
          <w:b/>
          <w:color w:val="000000"/>
          <w:sz w:val="24"/>
          <w:szCs w:val="24"/>
          <w:highlight w:val="yellow"/>
        </w:rPr>
      </w:pPr>
      <w:r>
        <w:rPr>
          <w:rFonts w:hint="eastAsia" w:eastAsia="宋体" w:cs="Times New Roman"/>
          <w:b/>
          <w:bCs/>
          <w:color w:val="000000"/>
          <w:sz w:val="24"/>
          <w:szCs w:val="24"/>
          <w:highlight w:val="yellow"/>
        </w:rPr>
        <w:t>对于中国境内投标人，投标条件详见招标文件“第一部分投标须知前附表1.6”。</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3.报价</w:t>
      </w:r>
    </w:p>
    <w:p>
      <w:pPr>
        <w:pStyle w:val="20"/>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lang w:val="en-US" w:eastAsia="zh-CN"/>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pPr>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元【人民币（应同时报含税价和不含税价并写明税率）】。</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4.设备要求：</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4.5投标人按技术规范书提报设备详细技术资料；</w:t>
      </w:r>
    </w:p>
    <w:p>
      <w:pPr>
        <w:pStyle w:val="20"/>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pPr>
        <w:pStyle w:val="20"/>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pPr>
        <w:pStyle w:val="20"/>
        <w:spacing w:line="360" w:lineRule="auto"/>
        <w:rPr>
          <w:rFonts w:hAnsi="宋体" w:eastAsia="宋体"/>
          <w:color w:val="000000"/>
          <w:sz w:val="24"/>
          <w:szCs w:val="24"/>
        </w:rPr>
      </w:pPr>
      <w:r>
        <w:rPr>
          <w:rFonts w:hAnsi="宋体" w:eastAsia="宋体"/>
          <w:color w:val="000000"/>
          <w:sz w:val="24"/>
          <w:szCs w:val="24"/>
        </w:rPr>
        <w:t>—2020）。</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pPr>
        <w:keepNext/>
        <w:keepLines/>
        <w:spacing w:line="420" w:lineRule="exact"/>
        <w:ind w:firstLine="480" w:firstLineChars="200"/>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pPr>
        <w:keepNext/>
        <w:keepLines/>
        <w:spacing w:line="420" w:lineRule="exact"/>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pPr>
        <w:keepNext/>
        <w:keepLines/>
        <w:spacing w:line="420" w:lineRule="exact"/>
        <w:ind w:firstLine="482" w:firstLineChars="200"/>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pPr>
        <w:spacing w:line="420" w:lineRule="exact"/>
        <w:ind w:firstLine="480" w:firstLineChars="200"/>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2.发标方式</w:t>
      </w:r>
    </w:p>
    <w:p>
      <w:pPr>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中国重汽官网→快讯中心→通知公告栏公布。</w:t>
      </w:r>
    </w:p>
    <w:p>
      <w:pPr>
        <w:keepNext/>
        <w:keepLines/>
        <w:spacing w:line="420" w:lineRule="exact"/>
        <w:ind w:firstLine="482" w:firstLineChars="200"/>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p>
    <w:p>
      <w:pPr>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见《投标须知前附表》第二条，逾期不受理。</w:t>
      </w:r>
    </w:p>
    <w:p>
      <w:pPr>
        <w:keepNext/>
        <w:keepLines/>
        <w:spacing w:line="420" w:lineRule="exact"/>
        <w:ind w:firstLine="482" w:firstLineChars="200"/>
        <w:outlineLvl w:val="2"/>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4.投标报名</w:t>
      </w:r>
    </w:p>
    <w:p>
      <w:pPr>
        <w:keepNext/>
        <w:keepLines/>
        <w:spacing w:line="420" w:lineRule="exact"/>
        <w:ind w:firstLine="482"/>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（保证金具体金额及缴纳截止时间见《投标须知前附表》4.3）。</w:t>
      </w:r>
    </w:p>
    <w:p>
      <w:pPr>
        <w:pStyle w:val="115"/>
        <w:ind w:firstLine="480"/>
        <w:rPr>
          <w:rFonts w:eastAsia="宋体" w:cs="Times New Roman"/>
          <w:highlight w:val="green"/>
        </w:rPr>
      </w:pPr>
      <w:r>
        <w:rPr>
          <w:rFonts w:hint="eastAsia" w:eastAsia="宋体" w:cs="Times New Roman"/>
          <w:highlight w:val="yellow"/>
        </w:rPr>
        <w:t>4.2招标人银行账户信息如下：</w:t>
      </w:r>
      <w:r>
        <w:rPr>
          <w:rFonts w:hint="eastAsia" w:eastAsia="宋体" w:cs="宋体"/>
        </w:rPr>
        <w:t>见《投标须知前附表》4.2</w:t>
      </w:r>
    </w:p>
    <w:p>
      <w:pPr>
        <w:pStyle w:val="115"/>
        <w:ind w:firstLine="480"/>
        <w:rPr>
          <w:rFonts w:eastAsia="宋体" w:cs="Times New Roman"/>
        </w:rPr>
      </w:pPr>
      <w:r>
        <w:rPr>
          <w:rFonts w:hint="eastAsia" w:eastAsia="宋体" w:cs="Times New Roman"/>
        </w:rPr>
        <w:t>转账附言：公司名称+项目名称+投标保证金；</w:t>
      </w:r>
    </w:p>
    <w:p>
      <w:pPr>
        <w:pStyle w:val="115"/>
        <w:ind w:firstLine="480"/>
        <w:rPr>
          <w:rFonts w:eastAsia="宋体" w:cs="Times New Roman"/>
        </w:rPr>
      </w:pPr>
      <w:r>
        <w:rPr>
          <w:rFonts w:hint="eastAsia" w:eastAsia="宋体" w:cs="Times New Roman"/>
        </w:rPr>
        <w:t>对于没有中标的投标单位，投标保证金将于招标人内部完成中标人评审并确认最终中标人后在30工作日内予以原路返还（无息）；对于中标方，投标保证金将在签订合同后30工作日内返还。</w:t>
      </w:r>
    </w:p>
    <w:p>
      <w:pPr>
        <w:pStyle w:val="115"/>
        <w:ind w:firstLine="480"/>
        <w:rPr>
          <w:rFonts w:eastAsia="宋体" w:cs="Times New Roman"/>
        </w:rPr>
      </w:pPr>
      <w:r>
        <w:rPr>
          <w:rFonts w:hint="eastAsia" w:eastAsia="宋体" w:cs="Times New Roman"/>
        </w:rPr>
        <w:t>4.3说明</w:t>
      </w:r>
    </w:p>
    <w:p>
      <w:pPr>
        <w:pStyle w:val="115"/>
        <w:ind w:firstLine="480"/>
        <w:rPr>
          <w:rFonts w:eastAsia="宋体" w:cs="Times New Roman"/>
        </w:rPr>
      </w:pPr>
      <w:r>
        <w:rPr>
          <w:rFonts w:hint="eastAsia" w:eastAsia="宋体" w:cs="Times New Roman"/>
        </w:rPr>
        <w:t>4.3.1 投标人在向招标人出示《投标保证金缴纳凭证》后方可进行投标；</w:t>
      </w:r>
    </w:p>
    <w:p>
      <w:pPr>
        <w:pStyle w:val="115"/>
        <w:ind w:firstLine="480"/>
        <w:rPr>
          <w:rFonts w:eastAsia="宋体" w:cs="Times New Roman"/>
        </w:rPr>
      </w:pPr>
      <w:r>
        <w:rPr>
          <w:rFonts w:hint="eastAsia" w:eastAsia="宋体" w:cs="Times New Roman"/>
        </w:rPr>
        <w:t>4.3.2 发生以下情况时，招标人有权没收保证金：</w:t>
      </w:r>
    </w:p>
    <w:p>
      <w:pPr>
        <w:pStyle w:val="115"/>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pPr>
        <w:pStyle w:val="115"/>
        <w:ind w:firstLine="480"/>
        <w:rPr>
          <w:rFonts w:eastAsia="宋体" w:cs="Times New Roman"/>
        </w:rPr>
      </w:pPr>
      <w:r>
        <w:rPr>
          <w:rFonts w:hint="eastAsia" w:eastAsia="宋体" w:cs="Times New Roman"/>
        </w:rPr>
        <w:t>4.3.2.2 投标人递送投标文件后，无正当理由放弃投标的；</w:t>
      </w:r>
    </w:p>
    <w:p>
      <w:pPr>
        <w:pStyle w:val="115"/>
        <w:ind w:firstLine="480"/>
        <w:rPr>
          <w:rFonts w:eastAsia="宋体" w:cs="Times New Roman"/>
        </w:rPr>
      </w:pPr>
      <w:r>
        <w:rPr>
          <w:rFonts w:hint="eastAsia" w:eastAsia="宋体" w:cs="Times New Roman"/>
        </w:rPr>
        <w:t>4.3.2.3若为视频开标，招标过程中澄清函等资料原件未按要求提交的；</w:t>
      </w:r>
    </w:p>
    <w:p>
      <w:pPr>
        <w:pStyle w:val="115"/>
        <w:ind w:firstLine="480"/>
        <w:rPr>
          <w:rFonts w:eastAsia="宋体" w:cs="Times New Roman"/>
        </w:rPr>
      </w:pPr>
      <w:r>
        <w:rPr>
          <w:rFonts w:hint="eastAsia" w:eastAsia="宋体" w:cs="Times New Roman"/>
        </w:rPr>
        <w:t>4.3.2.4自中标通知书发出之日起30日内，中标人无正当理由不签订合同的；</w:t>
      </w:r>
    </w:p>
    <w:p>
      <w:pPr>
        <w:pStyle w:val="115"/>
        <w:ind w:firstLine="480"/>
        <w:rPr>
          <w:rFonts w:eastAsia="宋体" w:cs="Times New Roman"/>
        </w:rPr>
      </w:pPr>
      <w:r>
        <w:rPr>
          <w:rFonts w:hint="eastAsia" w:eastAsia="宋体" w:cs="Times New Roman"/>
        </w:rPr>
        <w:t>4.3.2.5投标人在投标过程中被查实有串标、围标、陪标等违规违纪行为的；</w:t>
      </w:r>
    </w:p>
    <w:p>
      <w:pPr>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pPr>
        <w:pStyle w:val="115"/>
        <w:ind w:firstLine="480"/>
        <w:rPr>
          <w:rFonts w:eastAsia="宋体" w:cs="Times New Roman"/>
        </w:rPr>
      </w:pPr>
      <w:r>
        <w:rPr>
          <w:rFonts w:hint="eastAsia" w:eastAsia="宋体" w:cs="Times New Roman"/>
        </w:rPr>
        <w:t>4.4投标报名截止时间</w:t>
      </w:r>
    </w:p>
    <w:p>
      <w:pPr>
        <w:pStyle w:val="115"/>
        <w:ind w:firstLine="480"/>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pPr>
        <w:pStyle w:val="115"/>
        <w:ind w:firstLine="480"/>
        <w:rPr>
          <w:rFonts w:eastAsia="宋体" w:cs="Times New Roman"/>
        </w:rPr>
      </w:pPr>
      <w:r>
        <w:rPr>
          <w:rFonts w:hint="eastAsia" w:eastAsia="宋体" w:cs="Times New Roman"/>
        </w:rPr>
        <w:t>报名提交资料：均为盖章电子扫描版，</w:t>
      </w:r>
      <w:r>
        <w:rPr>
          <w:rFonts w:hint="eastAsia" w:eastAsia="宋体" w:cs="Times New Roman"/>
          <w:highlight w:val="none"/>
        </w:rPr>
        <w:t>用公司名称+文件名称命名</w:t>
      </w:r>
      <w:r>
        <w:rPr>
          <w:rFonts w:hint="eastAsia" w:eastAsia="宋体" w:cs="Times New Roman"/>
        </w:rPr>
        <w:t>。</w:t>
      </w:r>
    </w:p>
    <w:p>
      <w:pPr>
        <w:numPr>
          <w:ilvl w:val="0"/>
          <w:numId w:val="9"/>
        </w:numPr>
        <w:spacing w:line="420" w:lineRule="exact"/>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要提交三证合一的营业执照副本、法人授权委托书（含法人及授权人身份信息证明、授权代表联系方式）。</w:t>
      </w:r>
    </w:p>
    <w:p>
      <w:pPr>
        <w:numPr>
          <w:ilvl w:val="0"/>
          <w:numId w:val="9"/>
        </w:numPr>
        <w:spacing w:line="420" w:lineRule="exact"/>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，要提交三证合一的营业执照副本、法人代表证明文件。</w:t>
      </w:r>
    </w:p>
    <w:p>
      <w:pPr>
        <w:numPr>
          <w:ilvl w:val="0"/>
          <w:numId w:val="9"/>
        </w:numPr>
        <w:spacing w:line="420" w:lineRule="exact"/>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5.开标时间</w:t>
      </w:r>
    </w:p>
    <w:p>
      <w:pPr>
        <w:keepNext/>
        <w:keepLines/>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6.开标方式</w:t>
      </w:r>
    </w:p>
    <w:p>
      <w:pPr>
        <w:spacing w:line="420" w:lineRule="exact"/>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其他情况请选择视频</w:t>
      </w:r>
      <w:r>
        <w:rPr>
          <w:rFonts w:hint="eastAsia" w:ascii="宋体" w:hAnsi="宋体" w:eastAsia="宋体" w:cs="宋体"/>
          <w:color w:val="000000"/>
          <w:sz w:val="24"/>
          <w:szCs w:val="24"/>
          <w:highlight w:val="yellow"/>
        </w:rPr>
        <w:t>参与开标，视频链接会在报名结束后统一通知。</w:t>
      </w:r>
    </w:p>
    <w:p>
      <w:pPr>
        <w:keepNext/>
        <w:keepLines/>
        <w:spacing w:line="420" w:lineRule="exact"/>
        <w:jc w:val="left"/>
        <w:outlineLvl w:val="1"/>
        <w:rPr>
          <w:rFonts w:ascii="Times New Roman" w:hAnsi="Times New Roman" w:eastAsia="宋体" w:cs="Times New Roman"/>
          <w:b/>
          <w:bCs/>
          <w:color w:val="000000"/>
          <w:sz w:val="28"/>
          <w:szCs w:val="28"/>
        </w:rPr>
      </w:pPr>
      <w:bookmarkStart w:id="5" w:name="_Toc33266914"/>
      <w:bookmarkStart w:id="6" w:name="_Toc33267001"/>
      <w:bookmarkStart w:id="7" w:name="_Toc33265653"/>
      <w:bookmarkStart w:id="8" w:name="_Toc33265752"/>
      <w:bookmarkStart w:id="9" w:name="_Toc33266950"/>
      <w:bookmarkStart w:id="10" w:name="_Toc33285487"/>
      <w:bookmarkStart w:id="11" w:name="_Toc33266627"/>
      <w:r>
        <w:rPr>
          <w:rFonts w:hint="eastAsia" w:ascii="Times New Roman" w:hAnsi="Times New Roman" w:eastAsia="宋体" w:cs="Times New Roman"/>
          <w:b/>
          <w:bCs/>
          <w:color w:val="000000"/>
          <w:sz w:val="28"/>
          <w:szCs w:val="28"/>
        </w:rPr>
        <w:t>六、评标原则</w:t>
      </w:r>
      <w:bookmarkEnd w:id="5"/>
      <w:bookmarkEnd w:id="6"/>
      <w:bookmarkEnd w:id="7"/>
      <w:bookmarkEnd w:id="8"/>
      <w:bookmarkEnd w:id="9"/>
      <w:bookmarkEnd w:id="10"/>
      <w:bookmarkEnd w:id="11"/>
      <w:bookmarkStart w:id="12" w:name="_Toc395116633"/>
    </w:p>
    <w:bookmarkEnd w:id="12"/>
    <w:p>
      <w:pPr>
        <w:spacing w:line="420" w:lineRule="exact"/>
        <w:ind w:firstLine="482" w:firstLineChars="200"/>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pPr>
        <w:adjustRightInd w:val="0"/>
        <w:snapToGrid w:val="0"/>
        <w:spacing w:line="420" w:lineRule="exact"/>
        <w:ind w:firstLine="482" w:firstLineChars="200"/>
        <w:rPr>
          <w:rFonts w:ascii="Calibri" w:hAnsi="Calibri" w:eastAsia="宋体" w:cs="Times New Roman"/>
          <w:b/>
          <w:color w:val="000000"/>
          <w:sz w:val="24"/>
          <w:szCs w:val="24"/>
        </w:rPr>
      </w:pPr>
      <w:r>
        <w:rPr>
          <w:rFonts w:hint="eastAsia" w:ascii="宋体" w:hAnsi="宋体" w:eastAsia="宋体" w:cs="Times New Roman"/>
          <w:b/>
          <w:sz w:val="24"/>
          <w:szCs w:val="24"/>
        </w:rPr>
        <w:t>本次招标</w:t>
      </w:r>
      <w:bookmarkStart w:id="13" w:name="_Toc33265753"/>
      <w:bookmarkStart w:id="14" w:name="_Toc395116634"/>
      <w:bookmarkStart w:id="15" w:name="_Toc33265654"/>
      <w:bookmarkStart w:id="16" w:name="_Toc33266628"/>
      <w:bookmarkStart w:id="17" w:name="_Toc33267002"/>
      <w:bookmarkStart w:id="18" w:name="_Toc33266915"/>
      <w:bookmarkStart w:id="19" w:name="_Toc33285489"/>
      <w:bookmarkStart w:id="20" w:name="_Toc33266951"/>
      <w:r>
        <w:rPr>
          <w:rFonts w:hint="eastAsia" w:ascii="宋体" w:hAnsi="宋体" w:eastAsia="宋体" w:cs="Times New Roman"/>
          <w:b/>
          <w:sz w:val="24"/>
          <w:szCs w:val="24"/>
        </w:rPr>
        <w:t>采用合理最低价评标法，无技术标环节。</w:t>
      </w:r>
      <w:r>
        <w:rPr>
          <w:rFonts w:hint="eastAsia" w:ascii="Calibri" w:hAnsi="宋体" w:eastAsia="宋体" w:cs="Times New Roman"/>
          <w:b/>
          <w:color w:val="000000"/>
          <w:sz w:val="24"/>
          <w:szCs w:val="24"/>
        </w:rPr>
        <w:t>对未中标方不做任何解释</w:t>
      </w:r>
      <w:r>
        <w:rPr>
          <w:rFonts w:hint="eastAsia" w:ascii="Calibri" w:hAnsi="Calibri" w:eastAsia="宋体" w:cs="Times New Roman"/>
          <w:b/>
          <w:color w:val="000000"/>
          <w:sz w:val="24"/>
          <w:szCs w:val="24"/>
        </w:rPr>
        <w:t>。</w:t>
      </w:r>
    </w:p>
    <w:bookmarkEnd w:id="13"/>
    <w:bookmarkEnd w:id="14"/>
    <w:bookmarkEnd w:id="15"/>
    <w:bookmarkEnd w:id="16"/>
    <w:bookmarkEnd w:id="17"/>
    <w:bookmarkEnd w:id="18"/>
    <w:bookmarkEnd w:id="19"/>
    <w:bookmarkEnd w:id="20"/>
    <w:p>
      <w:pPr>
        <w:spacing w:line="420" w:lineRule="exact"/>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评标流程：</w:t>
      </w:r>
    </w:p>
    <w:p>
      <w:pPr>
        <w:pStyle w:val="20"/>
        <w:ind w:firstLine="482" w:firstLineChars="200"/>
        <w:rPr>
          <w:rFonts w:eastAsia="宋体"/>
        </w:rPr>
      </w:pPr>
      <w:r>
        <w:rPr>
          <w:rFonts w:hint="eastAsia" w:hAnsi="宋体" w:eastAsia="宋体" w:cs="Times New Roman"/>
          <w:b/>
          <w:color w:val="000000"/>
          <w:sz w:val="24"/>
          <w:szCs w:val="24"/>
        </w:rPr>
        <w:t>投标文件包含《投标文件（资质标）》、《投标文件（技术标）》、《投标文件（商务标）》（开标一览表），共计三个文件。</w:t>
      </w:r>
    </w:p>
    <w:p>
      <w:pPr>
        <w:numPr>
          <w:ilvl w:val="0"/>
          <w:numId w:val="10"/>
        </w:numPr>
        <w:spacing w:line="420" w:lineRule="exact"/>
        <w:rPr>
          <w:rFonts w:ascii="宋体" w:hAnsi="宋体" w:eastAsia="宋体" w:cs="Times New Roman"/>
          <w:b/>
          <w:color w:val="000000"/>
          <w:sz w:val="24"/>
          <w:szCs w:val="24"/>
        </w:rPr>
      </w:pPr>
      <w:r>
        <w:rPr>
          <w:rFonts w:hint="eastAsia" w:ascii="宋体" w:hAnsi="宋体" w:eastAsia="宋体" w:cs="Times New Roman"/>
          <w:b/>
          <w:color w:val="000000"/>
          <w:sz w:val="24"/>
          <w:szCs w:val="24"/>
        </w:rPr>
        <w:t>应标资格审查：在“中国重汽e采通”应标报名时，</w:t>
      </w:r>
      <w:r>
        <w:rPr>
          <w:rFonts w:hint="eastAsia" w:ascii="宋体" w:hAnsi="宋体" w:eastAsia="宋体" w:cs="Times New Roman"/>
          <w:b/>
          <w:bCs/>
          <w:color w:val="000000"/>
          <w:sz w:val="24"/>
          <w:szCs w:val="24"/>
        </w:rPr>
        <w:t>按照第三部分投标文件组成资格证明文件中的1.1</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1.12准备资料，上传完毕后，等待审核</w:t>
      </w:r>
      <w:r>
        <w:rPr>
          <w:rFonts w:hint="eastAsia" w:ascii="宋体" w:hAnsi="宋体" w:eastAsia="宋体" w:cs="Times New Roman"/>
          <w:b/>
          <w:color w:val="000000"/>
          <w:sz w:val="24"/>
          <w:szCs w:val="24"/>
        </w:rPr>
        <w:t>；</w:t>
      </w:r>
    </w:p>
    <w:p>
      <w:pPr>
        <w:numPr>
          <w:ilvl w:val="0"/>
          <w:numId w:val="11"/>
        </w:numPr>
        <w:spacing w:line="420" w:lineRule="exact"/>
        <w:rPr>
          <w:rFonts w:ascii="宋体" w:hAnsi="宋体" w:eastAsia="宋体" w:cs="Times New Roman"/>
          <w:b/>
          <w:color w:val="000000"/>
          <w:sz w:val="24"/>
          <w:szCs w:val="24"/>
        </w:rPr>
      </w:pPr>
      <w:r>
        <w:rPr>
          <w:rFonts w:hint="eastAsia"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12"/>
        </w:numPr>
        <w:spacing w:line="420" w:lineRule="exact"/>
        <w:rPr>
          <w:rFonts w:ascii="宋体" w:hAnsi="宋体" w:eastAsia="宋体" w:cs="Times New Roman"/>
          <w:b/>
          <w:sz w:val="24"/>
          <w:szCs w:val="24"/>
        </w:rPr>
      </w:pPr>
      <w:r>
        <w:rPr>
          <w:rFonts w:hint="eastAsia" w:ascii="宋体" w:hAnsi="宋体" w:eastAsia="宋体" w:cs="Times New Roman"/>
          <w:b/>
          <w:sz w:val="24"/>
          <w:szCs w:val="24"/>
        </w:rPr>
        <w:t>资质标评审：资质标审核通过的单位，进入技术标评审；</w:t>
      </w:r>
    </w:p>
    <w:p>
      <w:pPr>
        <w:numPr>
          <w:ilvl w:val="0"/>
          <w:numId w:val="12"/>
        </w:numPr>
        <w:spacing w:line="420" w:lineRule="exact"/>
        <w:rPr>
          <w:rFonts w:ascii="宋体" w:hAnsi="宋体" w:eastAsia="宋体" w:cs="Times New Roman"/>
          <w:b/>
          <w:sz w:val="24"/>
          <w:szCs w:val="24"/>
          <w:highlight w:val="yellow"/>
        </w:rPr>
      </w:pPr>
      <w:r>
        <w:rPr>
          <w:rFonts w:hint="eastAsia" w:ascii="宋体" w:hAnsi="宋体" w:eastAsia="宋体" w:cs="Times New Roman"/>
          <w:b/>
          <w:color w:val="000000"/>
          <w:sz w:val="24"/>
          <w:szCs w:val="24"/>
        </w:rPr>
        <w:t>技术标评审</w:t>
      </w:r>
      <w:r>
        <w:rPr>
          <w:rFonts w:hint="eastAsia" w:ascii="宋体" w:hAnsi="宋体" w:eastAsia="宋体" w:cs="Times New Roman"/>
          <w:b/>
          <w:sz w:val="24"/>
          <w:szCs w:val="24"/>
        </w:rPr>
        <w:t>：技术标评标专家组，通过重汽e采通，对各投标人的</w:t>
      </w:r>
      <w:r>
        <w:rPr>
          <w:rFonts w:hint="eastAsia" w:hAnsi="宋体" w:eastAsia="宋体" w:cs="Times New Roman"/>
          <w:b/>
          <w:sz w:val="24"/>
          <w:szCs w:val="24"/>
        </w:rPr>
        <w:t>《投标文件（技术标）》进行综合评审；评审期间产生的</w:t>
      </w:r>
      <w:r>
        <w:rPr>
          <w:rFonts w:hint="eastAsia" w:ascii="宋体" w:hAnsi="宋体" w:eastAsia="宋体" w:cs="Times New Roman"/>
          <w:b/>
          <w:sz w:val="24"/>
          <w:szCs w:val="24"/>
        </w:rPr>
        <w:t>技术澄清均由投标人在重汽e采通平台内完成提交；评审合格的单位进入商务标评审环节，评审不合格的单位被淘汰；</w:t>
      </w:r>
    </w:p>
    <w:p>
      <w:pPr>
        <w:numPr>
          <w:ilvl w:val="255"/>
          <w:numId w:val="0"/>
        </w:numPr>
        <w:spacing w:line="420" w:lineRule="exact"/>
        <w:ind w:firstLine="482" w:firstLineChars="200"/>
        <w:rPr>
          <w:rFonts w:ascii="宋体" w:hAnsi="宋体" w:eastAsia="宋体" w:cs="Times New Roman"/>
          <w:b/>
          <w:sz w:val="24"/>
          <w:szCs w:val="24"/>
          <w:highlight w:val="yellow"/>
        </w:rPr>
      </w:pPr>
      <w:r>
        <w:rPr>
          <w:rFonts w:hint="eastAsia" w:ascii="宋体" w:hAnsi="宋体" w:eastAsia="宋体" w:cs="Times New Roman"/>
          <w:b/>
          <w:sz w:val="24"/>
          <w:szCs w:val="24"/>
          <w:highlight w:val="yellow"/>
        </w:rPr>
        <w:t>具体</w:t>
      </w:r>
      <w:r>
        <w:rPr>
          <w:rFonts w:hint="eastAsia" w:ascii="Times New Roman" w:hAnsi="Times New Roman" w:eastAsia="宋体" w:cs="Times New Roman"/>
          <w:b/>
          <w:bCs/>
          <w:color w:val="000000"/>
          <w:sz w:val="24"/>
          <w:szCs w:val="24"/>
          <w:highlight w:val="yellow"/>
        </w:rPr>
        <w:t>技术标评分标准见附件14。</w:t>
      </w:r>
    </w:p>
    <w:p>
      <w:pPr>
        <w:numPr>
          <w:ilvl w:val="0"/>
          <w:numId w:val="13"/>
        </w:numPr>
        <w:spacing w:line="420" w:lineRule="exact"/>
        <w:ind w:left="0" w:firstLine="0"/>
        <w:rPr>
          <w:rFonts w:ascii="宋体" w:hAnsi="宋体" w:cs="Times New Roman"/>
          <w:b/>
          <w:sz w:val="24"/>
          <w:szCs w:val="24"/>
        </w:rPr>
      </w:pPr>
      <w:r>
        <w:rPr>
          <w:rFonts w:hint="eastAsia" w:ascii="宋体" w:hAnsi="宋体" w:eastAsia="宋体" w:cs="Times New Roman"/>
          <w:b/>
          <w:sz w:val="24"/>
          <w:szCs w:val="24"/>
        </w:rPr>
        <w:t>商务标评审：公开唱标</w:t>
      </w:r>
      <w:r>
        <w:rPr>
          <w:rFonts w:hint="eastAsia" w:ascii="宋体" w:hAnsi="宋体" w:eastAsia="宋体" w:cs="Segoe UI Emoji"/>
          <w:b/>
          <w:sz w:val="24"/>
          <w:szCs w:val="24"/>
        </w:rPr>
        <w:t>→</w:t>
      </w:r>
      <w:r>
        <w:rPr>
          <w:rFonts w:hint="eastAsia" w:ascii="宋体" w:hAnsi="宋体" w:eastAsia="宋体" w:cs="Times New Roman"/>
          <w:b/>
          <w:sz w:val="24"/>
          <w:szCs w:val="24"/>
        </w:rPr>
        <w:t>商务条款相应确认</w:t>
      </w:r>
      <w:r>
        <w:rPr>
          <w:rFonts w:hint="eastAsia" w:ascii="宋体" w:hAnsi="宋体" w:eastAsia="宋体" w:cs="Segoe UI Emoji"/>
          <w:b/>
          <w:sz w:val="24"/>
          <w:szCs w:val="24"/>
        </w:rPr>
        <w:t>→价格澄清→</w:t>
      </w:r>
      <w:r>
        <w:rPr>
          <w:rFonts w:hint="eastAsia" w:ascii="宋体" w:hAnsi="宋体" w:eastAsia="宋体" w:cs="Times New Roman"/>
          <w:b/>
          <w:sz w:val="24"/>
          <w:szCs w:val="24"/>
        </w:rPr>
        <w:t>商务标评审；</w:t>
      </w:r>
      <w:r>
        <w:rPr>
          <w:rFonts w:hint="eastAsia" w:hAnsi="宋体" w:eastAsia="宋体" w:cs="Times New Roman"/>
          <w:b/>
          <w:sz w:val="24"/>
          <w:szCs w:val="24"/>
        </w:rPr>
        <w:t>评审期间产生的</w:t>
      </w:r>
      <w:r>
        <w:rPr>
          <w:rFonts w:hint="eastAsia" w:ascii="宋体" w:hAnsi="宋体" w:eastAsia="宋体" w:cs="Times New Roman"/>
          <w:b/>
          <w:sz w:val="24"/>
          <w:szCs w:val="24"/>
        </w:rPr>
        <w:t>商务价格澄清均由投标人在重汽e采通平台内限时完成提交；</w:t>
      </w:r>
    </w:p>
    <w:p>
      <w:pPr>
        <w:pStyle w:val="2"/>
        <w:ind w:firstLine="482" w:firstLineChars="200"/>
      </w:pPr>
      <w:r>
        <w:rPr>
          <w:rFonts w:hint="eastAsia" w:ascii="宋体" w:hAnsi="宋体"/>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szCs w:val="24"/>
        </w:rPr>
        <w:t xml:space="preserve">  </w:t>
      </w:r>
    </w:p>
    <w:p>
      <w:pPr>
        <w:numPr>
          <w:ilvl w:val="0"/>
          <w:numId w:val="13"/>
        </w:numPr>
        <w:spacing w:line="420" w:lineRule="exact"/>
        <w:rPr>
          <w:rFonts w:ascii="宋体" w:hAnsi="宋体" w:eastAsia="宋体" w:cs="Times New Roman"/>
          <w:b/>
          <w:sz w:val="24"/>
          <w:szCs w:val="24"/>
        </w:rPr>
      </w:pPr>
      <w:r>
        <w:rPr>
          <w:rFonts w:hint="eastAsia" w:ascii="宋体" w:hAnsi="宋体" w:eastAsia="宋体" w:cs="Times New Roman"/>
          <w:b/>
          <w:sz w:val="24"/>
          <w:szCs w:val="24"/>
        </w:rPr>
        <w:t>中标人确定：技术入围后，原则上合理最低价中标。</w:t>
      </w:r>
    </w:p>
    <w:p>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七、合同签订</w:t>
      </w:r>
    </w:p>
    <w:p>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Times New Roman"/>
          <w:color w:val="000000"/>
          <w:sz w:val="24"/>
          <w:szCs w:val="24"/>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Arial" w:hAnsi="Arial" w:eastAsia="宋体" w:cs="Times New Roman"/>
          <w:b/>
          <w:bCs/>
          <w:sz w:val="24"/>
          <w:szCs w:val="24"/>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Courier New" w:eastAsia="宋体" w:cs="Times New Roman"/>
          <w:color w:val="000000"/>
          <w:sz w:val="24"/>
          <w:szCs w:val="24"/>
        </w:rPr>
      </w:pPr>
      <w:r>
        <w:rPr>
          <w:rFonts w:hint="eastAsia" w:ascii="宋体" w:hAnsi="Courier New" w:eastAsia="宋体" w:cs="Times New Roman"/>
          <w:color w:val="000000"/>
          <w:sz w:val="24"/>
          <w:szCs w:val="24"/>
        </w:rPr>
        <w:t xml:space="preserve">    （</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pPr>
        <w:pStyle w:val="20"/>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（12）法律、法规规定的其他情况。</w:t>
      </w:r>
    </w:p>
    <w:p>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bookmarkStart w:id="21" w:name="OLE_LINK27"/>
      <w:bookmarkStart w:id="22" w:name="OLE_LINK29"/>
      <w:bookmarkStart w:id="23" w:name="OLE_LINK26"/>
      <w:bookmarkStart w:id="24" w:name="OLE_LINK25"/>
      <w:bookmarkStart w:id="25" w:name="OLE_LINK28"/>
      <w:r>
        <w:rPr>
          <w:rFonts w:hint="eastAsia" w:ascii="宋体" w:hAnsi="Courier New" w:eastAsia="宋体" w:cs="Times New Roman"/>
          <w:bCs/>
          <w:sz w:val="24"/>
          <w:szCs w:val="24"/>
        </w:rPr>
        <w:t>；</w:t>
      </w:r>
      <w:bookmarkEnd w:id="21"/>
      <w:bookmarkEnd w:id="22"/>
      <w:bookmarkEnd w:id="23"/>
      <w:bookmarkEnd w:id="24"/>
      <w:bookmarkEnd w:id="25"/>
    </w:p>
    <w:p>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pPr>
        <w:pStyle w:val="20"/>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pPr>
        <w:spacing w:line="360" w:lineRule="auto"/>
        <w:ind w:right="2"/>
        <w:rPr>
          <w:rFonts w:ascii="Arial" w:hAnsi="Arial" w:eastAsia="宋体" w:cs="Times New Roman"/>
          <w:b/>
          <w:bCs/>
          <w:sz w:val="24"/>
          <w:szCs w:val="32"/>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归中国重汽集团济南动力有限公司。</w:t>
      </w:r>
    </w:p>
    <w:p>
      <w:pPr>
        <w:pStyle w:val="20"/>
        <w:jc w:val="center"/>
        <w:rPr>
          <w:rFonts w:ascii="Calibri" w:hAnsi="Calibri" w:eastAsia="宋体" w:cs="Times New Roman"/>
          <w:b/>
          <w:bCs/>
          <w:kern w:val="44"/>
          <w:sz w:val="36"/>
          <w:szCs w:val="44"/>
        </w:rPr>
        <w:sectPr>
          <w:pgSz w:w="11907" w:h="16840"/>
          <w:pgMar w:top="1304" w:right="1418" w:bottom="1304" w:left="1418" w:header="724" w:footer="851" w:gutter="0"/>
          <w:pgNumType w:start="7"/>
          <w:cols w:space="720" w:num="1"/>
          <w:docGrid w:linePitch="290" w:charSpace="-3931"/>
        </w:sectPr>
      </w:pPr>
    </w:p>
    <w:p>
      <w:pPr>
        <w:pStyle w:val="20"/>
        <w:numPr>
          <w:ilvl w:val="255"/>
          <w:numId w:val="0"/>
        </w:numPr>
        <w:jc w:val="center"/>
        <w:outlineLvl w:val="0"/>
        <w:rPr>
          <w:rFonts w:ascii="Calibri" w:hAnsi="Calibri" w:eastAsia="宋体" w:cs="Times New Roman"/>
          <w:b/>
          <w:bCs/>
          <w:kern w:val="44"/>
          <w:sz w:val="36"/>
          <w:szCs w:val="44"/>
        </w:rPr>
      </w:pPr>
      <w:bookmarkStart w:id="26" w:name="_Toc22879"/>
      <w:r>
        <w:rPr>
          <w:rFonts w:hint="eastAsia" w:ascii="Calibri" w:hAnsi="Calibri" w:eastAsia="宋体" w:cs="Times New Roman"/>
          <w:b/>
          <w:bCs/>
          <w:kern w:val="44"/>
          <w:sz w:val="36"/>
          <w:szCs w:val="44"/>
        </w:rPr>
        <w:t>第三部分 投标文件编制</w:t>
      </w:r>
      <w:bookmarkEnd w:id="26"/>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1投标人须认真阅读招标文件的所有内容，按招标文件的要求提供投标文件，并保证提供的全部资料的真实性，以使其投标对招标文件作出实质性响应，否则，其投标将被拒绝。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1投标人所投标设备详细技术资料清单，在投标文件中列示说明；</w:t>
      </w:r>
    </w:p>
    <w:p>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2投标人完整的技术支持与售后服务实施方案，在投标文件中列示说明，包含但不</w:t>
      </w:r>
      <w:r>
        <w:rPr>
          <w:rFonts w:hint="eastAsia" w:ascii="宋体" w:hAnsi="Courier New" w:eastAsia="宋体" w:cs="Times New Roman"/>
          <w:color w:val="000000"/>
          <w:sz w:val="24"/>
          <w:szCs w:val="24"/>
        </w:rPr>
        <w:t>限于以下内容：</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3投标人关于包装、运输、检验、交付、安装、调试、培训等方案，均需在投标文件</w:t>
      </w:r>
      <w:r>
        <w:rPr>
          <w:rFonts w:hint="eastAsia" w:ascii="宋体" w:hAnsi="Courier New" w:eastAsia="宋体" w:cs="Times New Roman"/>
          <w:color w:val="000000"/>
          <w:sz w:val="24"/>
          <w:szCs w:val="24"/>
        </w:rPr>
        <w:t>中列示说明。</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pPr>
        <w:spacing w:line="360" w:lineRule="auto"/>
        <w:ind w:firstLine="480" w:firstLineChars="200"/>
        <w:rPr>
          <w:rFonts w:ascii="宋体" w:hAnsi="Courier New" w:eastAsia="宋体" w:cs="Times New Roman"/>
          <w:bCs/>
          <w:color w:val="000000"/>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ascii="宋体" w:hAnsi="宋体" w:eastAsia="宋体" w:cs="宋体"/>
          <w:bCs/>
          <w:sz w:val="24"/>
          <w:szCs w:val="24"/>
        </w:rPr>
        <w:t>3</w:t>
      </w:r>
      <w:r>
        <w:rPr>
          <w:rFonts w:hint="eastAsia" w:ascii="宋体" w:hAnsi="Courier New" w:eastAsia="宋体" w:cs="Times New Roman"/>
          <w:bCs/>
          <w:color w:val="000000"/>
          <w:sz w:val="24"/>
          <w:szCs w:val="24"/>
        </w:rPr>
        <w:t>个文件。</w:t>
      </w:r>
    </w:p>
    <w:p>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详见附件格式1—14，其余未尽事宜请按各单位习惯制定即可。</w:t>
      </w:r>
    </w:p>
    <w:p>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bookmarkStart w:id="27" w:name="_Toc212369515"/>
      <w:r>
        <w:rPr>
          <w:rFonts w:hint="eastAsia" w:ascii="宋体" w:hAnsi="宋体" w:eastAsia="宋体" w:cs="Times New Roman"/>
          <w:color w:val="000000"/>
          <w:sz w:val="24"/>
          <w:szCs w:val="24"/>
        </w:rPr>
        <w:t>1.1营业执照副本复印件（需加盖公章）；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1.2投标函（附件1）；</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2）；法定代表人参加投标的，提供法人身份证明文件即可；被授权人参加投标的，需提供法定代表人授权委托书（含法人身份证和被授权人身份证正反面复印件）和被授权人近6个月及以上在授权单位的社保缴纳证明；</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1.4近三年经第三方机构审计的财务报表（报告页、资产负债表、损益表、现金流量表）复印件（需加盖公章），必须连续，同时填写投标人基本情况表（附件3）；</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1.5近三年内在经营活动中无与本项目有关的违法及重大违规行为的声明；</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1.6投标人在国家企业信用信息公示系统中无与本项目有关的行政处罚、经营异常和失信信息的声明；（附投标当日系统内相关截图）</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1.7企业对外担保说明（写明贵单位对外有无对外担保和质押业务，需加盖公章）；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1.8企业信用证明材料（征信中心出具的信用报告）；</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1.9代理商投标要携带生产商的授权书、原厂售后服务承诺书，根据实际情况提供即可，无格式限制（包括所代理品牌的针对本项目的唯一授权书）；</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1.10企业最近半年的完税证明，并附年度纳税信用评价信息（可从电子税务局查询截图，需加盖公章）；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1.11保密承诺函（附件4）；</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1.12 2022年1月1日至今，企业近三年同类项目业绩证明，须提供用户清单、采购合同复印件；</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1.13投标保证金缴纳凭证，同时正文描述付款账号、户名、开户行名称、开户行行号、保证金金额。</w:t>
      </w:r>
    </w:p>
    <w:p>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 xml:space="preserve">2 </w:t>
      </w:r>
      <w:r>
        <w:rPr>
          <w:rFonts w:hint="eastAsia" w:eastAsia="宋体" w:cs="宋体"/>
          <w:b/>
          <w:sz w:val="24"/>
          <w:szCs w:val="28"/>
        </w:rPr>
        <w:t>《投标文件（技术标）》</w:t>
      </w:r>
      <w:r>
        <w:rPr>
          <w:rFonts w:hint="eastAsia" w:ascii="宋体" w:hAnsi="宋体" w:eastAsia="宋体" w:cs="Times New Roman"/>
          <w:b/>
          <w:bCs/>
          <w:sz w:val="24"/>
          <w:szCs w:val="20"/>
        </w:rPr>
        <w:t>：</w:t>
      </w:r>
      <w:bookmarkEnd w:id="27"/>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2.1技术规格偏离表（附件5），</w:t>
      </w:r>
      <w:r>
        <w:rPr>
          <w:rFonts w:hint="eastAsia" w:ascii="宋体" w:hAnsi="宋体" w:eastAsia="宋体" w:cs="Times New Roman"/>
          <w:b/>
          <w:color w:val="000000"/>
          <w:sz w:val="24"/>
          <w:szCs w:val="24"/>
        </w:rPr>
        <w:t>必须先进行两列要求一一对照，不允许直接写无偏离；</w:t>
      </w:r>
    </w:p>
    <w:p>
      <w:pPr>
        <w:spacing w:line="360" w:lineRule="auto"/>
        <w:ind w:firstLine="480" w:firstLineChars="200"/>
        <w:rPr>
          <w:rFonts w:ascii="宋体" w:hAnsi="宋体" w:eastAsia="宋体" w:cs="Times New Roman"/>
          <w:b/>
          <w:color w:val="000000"/>
          <w:sz w:val="24"/>
          <w:szCs w:val="24"/>
          <w:highlight w:val="green"/>
        </w:rPr>
      </w:pPr>
      <w:r>
        <w:rPr>
          <w:rFonts w:hint="eastAsia" w:ascii="宋体" w:hAnsi="宋体" w:eastAsia="宋体" w:cs="Times New Roman"/>
          <w:bCs/>
          <w:color w:val="000000"/>
          <w:sz w:val="24"/>
          <w:szCs w:val="24"/>
        </w:rPr>
        <w:t>2.2</w:t>
      </w:r>
      <w:r>
        <w:rPr>
          <w:rFonts w:hint="eastAsia" w:ascii="宋体" w:hAnsi="宋体" w:eastAsia="宋体" w:cs="Times New Roman"/>
          <w:color w:val="000000"/>
          <w:sz w:val="24"/>
          <w:szCs w:val="24"/>
        </w:rPr>
        <w:t>近三年同类项目业绩一览表（附件6）及有效合同复印件</w:t>
      </w:r>
      <w:r>
        <w:rPr>
          <w:rFonts w:hint="eastAsia" w:ascii="宋体" w:hAnsi="宋体" w:eastAsia="宋体" w:cs="Times New Roman"/>
          <w:color w:val="000000"/>
          <w:sz w:val="24"/>
          <w:szCs w:val="24"/>
          <w:highlight w:val="none"/>
        </w:rPr>
        <w:t>，</w:t>
      </w:r>
      <w:r>
        <w:rPr>
          <w:rFonts w:hint="eastAsia" w:ascii="宋体" w:hAnsi="宋体" w:eastAsia="宋体" w:cs="Times New Roman"/>
          <w:b/>
          <w:color w:val="000000"/>
          <w:sz w:val="24"/>
          <w:szCs w:val="24"/>
          <w:highlight w:val="none"/>
        </w:rPr>
        <w:t>若未提供相应业绩证明，根据技术标评分规则，将影响现场评标专家组对投标单位业绩判定打分；</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2.3供货期及保证措施；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2.4产品的技术服务和售后服务内容及措施；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2.5交货进度及计划；</w:t>
      </w:r>
    </w:p>
    <w:p>
      <w:pPr>
        <w:spacing w:line="360" w:lineRule="auto"/>
        <w:ind w:firstLine="480" w:firstLineChars="200"/>
        <w:rPr>
          <w:rFonts w:ascii="宋体" w:hAnsi="宋体" w:eastAsia="宋体" w:cs="Times New Roman"/>
          <w:color w:val="000000"/>
          <w:sz w:val="24"/>
          <w:szCs w:val="24"/>
        </w:rPr>
      </w:pPr>
      <w:bookmarkStart w:id="28" w:name="_Toc536542319"/>
      <w:r>
        <w:rPr>
          <w:rFonts w:hint="eastAsia" w:ascii="宋体" w:hAnsi="宋体" w:eastAsia="宋体" w:cs="Times New Roman"/>
          <w:color w:val="000000"/>
          <w:sz w:val="24"/>
          <w:szCs w:val="24"/>
        </w:rPr>
        <w:t>2.6投标产品技术支持材料</w:t>
      </w:r>
      <w:bookmarkEnd w:id="28"/>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2.7设备质量承诺函（附件7）；</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2.8投标人需提交的其它资料。</w:t>
      </w:r>
    </w:p>
    <w:p>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3</w:t>
      </w:r>
      <w:r>
        <w:rPr>
          <w:rFonts w:hint="eastAsia" w:ascii="宋体" w:hAnsi="宋体" w:eastAsia="宋体" w:cs="Times New Roman"/>
          <w:b/>
          <w:bCs/>
          <w:sz w:val="24"/>
          <w:szCs w:val="20"/>
        </w:rPr>
        <w:t xml:space="preserve"> </w:t>
      </w:r>
      <w:r>
        <w:rPr>
          <w:rFonts w:hint="eastAsia" w:eastAsia="宋体" w:cs="宋体"/>
          <w:b/>
          <w:sz w:val="24"/>
          <w:szCs w:val="28"/>
        </w:rPr>
        <w:t>《投标文件（商务标）》（开标一览表）</w:t>
      </w:r>
      <w:r>
        <w:rPr>
          <w:rFonts w:hint="eastAsia" w:ascii="宋体" w:hAnsi="宋体" w:eastAsia="宋体" w:cs="Times New Roman"/>
          <w:b/>
          <w:bCs/>
          <w:sz w:val="24"/>
          <w:szCs w:val="20"/>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3.2投标报价明细表（附件9-1至9-5）</w:t>
      </w:r>
      <w:r>
        <w:rPr>
          <w:rFonts w:hint="eastAsia" w:ascii="宋体" w:hAnsi="宋体" w:eastAsia="宋体" w:cs="Times New Roman"/>
          <w:b/>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bookmarkStart w:id="29" w:name="OLE_LINK18"/>
      <w:bookmarkStart w:id="30" w:name="OLE_LINK19"/>
      <w:r>
        <w:rPr>
          <w:rFonts w:hint="eastAsia" w:ascii="宋体" w:hAnsi="宋体" w:eastAsia="宋体" w:cs="Times New Roman"/>
          <w:b/>
          <w:color w:val="000000"/>
          <w:sz w:val="24"/>
          <w:szCs w:val="24"/>
        </w:rPr>
        <w:t>；</w:t>
      </w:r>
      <w:bookmarkEnd w:id="29"/>
      <w:bookmarkEnd w:id="30"/>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需写明质保期以外服务费用情况；</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3.6按招标文件投标人须知和技术规格书中要求提供的有关文件。</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rPr>
        <w:t>4</w:t>
      </w:r>
      <w:r>
        <w:rPr>
          <w:rFonts w:hint="eastAsia" w:ascii="宋体" w:hAnsi="宋体" w:eastAsia="宋体" w:cs="Times New Roman"/>
          <w:color w:val="000000"/>
          <w:sz w:val="24"/>
          <w:szCs w:val="24"/>
        </w:rPr>
        <w:t>，其余未尽事宜请按各投标人习惯制定即可。</w:t>
      </w:r>
    </w:p>
    <w:p>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pPr>
        <w:keepNext/>
        <w:keepLines/>
        <w:jc w:val="center"/>
        <w:outlineLvl w:val="0"/>
        <w:rPr>
          <w:rFonts w:ascii="Times New Roman" w:hAnsi="Times New Roman" w:eastAsia="宋体" w:cs="Times New Roman"/>
          <w:b/>
          <w:bCs/>
          <w:kern w:val="44"/>
          <w:sz w:val="36"/>
          <w:szCs w:val="44"/>
        </w:rPr>
      </w:pPr>
      <w:r>
        <w:rPr>
          <w:rFonts w:hint="eastAsia" w:ascii="Times New Roman" w:hAnsi="Times New Roman" w:eastAsia="宋体" w:cs="Times New Roman"/>
          <w:b/>
          <w:bCs/>
          <w:kern w:val="44"/>
          <w:sz w:val="36"/>
          <w:szCs w:val="44"/>
        </w:rPr>
        <w:t>第四部分 技术标书</w:t>
      </w:r>
      <w:bookmarkEnd w:id="0"/>
    </w:p>
    <w:p>
      <w:pPr>
        <w:pStyle w:val="20"/>
        <w:rPr>
          <w:rFonts w:ascii="Times New Roman" w:hAnsi="Times New Roman"/>
        </w:rPr>
      </w:pPr>
    </w:p>
    <w:p>
      <w:pPr>
        <w:keepNext/>
        <w:keepLines/>
        <w:jc w:val="center"/>
        <w:rPr>
          <w:rFonts w:ascii="Times New Roman" w:hAnsi="Times New Roman" w:eastAsia="宋体" w:cs="Times New Roman"/>
          <w:b/>
          <w:bCs/>
          <w:color w:val="000000"/>
          <w:spacing w:val="-8"/>
          <w:sz w:val="48"/>
          <w:szCs w:val="44"/>
        </w:rPr>
      </w:pPr>
      <w:r>
        <w:rPr>
          <w:rFonts w:hint="eastAsia" w:ascii="Times New Roman" w:hAnsi="Times New Roman" w:eastAsia="宋体" w:cs="Times New Roman"/>
          <w:b/>
          <w:bCs/>
          <w:color w:val="000000"/>
          <w:spacing w:val="-8"/>
          <w:sz w:val="48"/>
          <w:szCs w:val="44"/>
        </w:rPr>
        <w:t>中国重汽集团济南动力有限公司</w:t>
      </w:r>
    </w:p>
    <w:p>
      <w:pPr>
        <w:spacing w:line="276" w:lineRule="auto"/>
        <w:jc w:val="center"/>
        <w:rPr>
          <w:rFonts w:ascii="Times New Roman" w:hAnsi="Times New Roman" w:eastAsia="宋体" w:cs="Times New Roman"/>
          <w:b/>
          <w:bCs/>
          <w:color w:val="000000"/>
          <w:spacing w:val="-8"/>
          <w:sz w:val="48"/>
          <w:szCs w:val="44"/>
        </w:rPr>
      </w:pPr>
      <w:r>
        <w:rPr>
          <w:rFonts w:hint="eastAsia" w:ascii="Times New Roman" w:hAnsi="Times New Roman" w:eastAsia="宋体" w:cs="Times New Roman"/>
          <w:b/>
          <w:bCs/>
          <w:color w:val="000000"/>
          <w:spacing w:val="-8"/>
          <w:sz w:val="48"/>
          <w:szCs w:val="44"/>
        </w:rPr>
        <w:t>桌面HIL台架</w:t>
      </w:r>
      <w:r>
        <w:rPr>
          <w:rFonts w:hint="eastAsia" w:ascii="Times New Roman" w:hAnsi="Times New Roman" w:eastAsia="宋体" w:cs="Times New Roman"/>
          <w:b/>
          <w:bCs/>
          <w:spacing w:val="-8"/>
          <w:sz w:val="48"/>
          <w:szCs w:val="44"/>
          <w:lang w:val="en-US" w:eastAsia="zh-CN"/>
        </w:rPr>
        <w:t>招标</w:t>
      </w:r>
      <w:r>
        <w:rPr>
          <w:rFonts w:hint="eastAsia" w:ascii="Times New Roman" w:hAnsi="Times New Roman" w:eastAsia="宋体" w:cs="Times New Roman"/>
          <w:b/>
          <w:bCs/>
          <w:spacing w:val="-8"/>
          <w:sz w:val="48"/>
          <w:szCs w:val="44"/>
        </w:rPr>
        <w:t>项目</w:t>
      </w:r>
    </w:p>
    <w:p>
      <w:pPr>
        <w:jc w:val="right"/>
        <w:rPr>
          <w:rFonts w:ascii="Times New Roman" w:hAnsi="Times New Roman" w:eastAsia="宋体" w:cs="Times New Roman"/>
          <w:color w:val="000000"/>
          <w:sz w:val="28"/>
          <w:szCs w:val="28"/>
        </w:rPr>
      </w:pPr>
    </w:p>
    <w:p>
      <w:pPr>
        <w:pStyle w:val="20"/>
        <w:rPr>
          <w:rFonts w:ascii="Times New Roman" w:hAnsi="Times New Roman"/>
        </w:rPr>
      </w:pPr>
    </w:p>
    <w:p>
      <w:pPr>
        <w:jc w:val="center"/>
        <w:rPr>
          <w:rFonts w:hint="eastAsia" w:ascii="Times New Roman" w:hAnsi="Times New Roman" w:eastAsia="黑体" w:cs="Times New Roman"/>
          <w:color w:val="000000"/>
          <w:sz w:val="72"/>
          <w:szCs w:val="72"/>
        </w:rPr>
      </w:pPr>
    </w:p>
    <w:p>
      <w:pPr>
        <w:jc w:val="center"/>
        <w:rPr>
          <w:rFonts w:hint="eastAsia" w:ascii="Times New Roman" w:hAnsi="Times New Roman" w:eastAsia="黑体" w:cs="Times New Roman"/>
          <w:color w:val="000000"/>
          <w:sz w:val="72"/>
          <w:szCs w:val="72"/>
        </w:rPr>
      </w:pPr>
    </w:p>
    <w:p>
      <w:pPr>
        <w:jc w:val="center"/>
        <w:rPr>
          <w:rFonts w:ascii="Times New Roman" w:hAnsi="Times New Roman" w:eastAsia="黑体" w:cs="Times New Roman"/>
          <w:color w:val="000000"/>
          <w:sz w:val="72"/>
          <w:szCs w:val="72"/>
        </w:rPr>
      </w:pPr>
      <w:r>
        <w:rPr>
          <w:rFonts w:hint="eastAsia" w:ascii="Times New Roman" w:hAnsi="Times New Roman" w:eastAsia="黑体" w:cs="Times New Roman"/>
          <w:color w:val="000000"/>
          <w:sz w:val="72"/>
          <w:szCs w:val="72"/>
        </w:rPr>
        <w:t>技</w:t>
      </w:r>
    </w:p>
    <w:p>
      <w:pPr>
        <w:jc w:val="center"/>
        <w:rPr>
          <w:rFonts w:ascii="Times New Roman" w:hAnsi="Times New Roman" w:eastAsia="黑体" w:cs="Times New Roman"/>
          <w:color w:val="000000"/>
          <w:sz w:val="72"/>
          <w:szCs w:val="72"/>
        </w:rPr>
      </w:pPr>
      <w:r>
        <w:rPr>
          <w:rFonts w:hint="eastAsia" w:ascii="Times New Roman" w:hAnsi="Times New Roman" w:eastAsia="黑体" w:cs="Times New Roman"/>
          <w:color w:val="000000"/>
          <w:sz w:val="72"/>
          <w:szCs w:val="72"/>
        </w:rPr>
        <w:t>术</w:t>
      </w:r>
    </w:p>
    <w:p>
      <w:pPr>
        <w:jc w:val="center"/>
        <w:rPr>
          <w:rFonts w:ascii="Times New Roman" w:hAnsi="Times New Roman" w:eastAsia="黑体" w:cs="Times New Roman"/>
          <w:color w:val="000000"/>
          <w:sz w:val="72"/>
          <w:szCs w:val="72"/>
        </w:rPr>
      </w:pPr>
      <w:r>
        <w:rPr>
          <w:rFonts w:hint="eastAsia" w:ascii="Times New Roman" w:hAnsi="Times New Roman" w:eastAsia="黑体" w:cs="Times New Roman"/>
          <w:color w:val="000000"/>
          <w:sz w:val="72"/>
          <w:szCs w:val="72"/>
        </w:rPr>
        <w:t>标</w:t>
      </w:r>
    </w:p>
    <w:p>
      <w:pPr>
        <w:jc w:val="center"/>
        <w:rPr>
          <w:rFonts w:ascii="Times New Roman" w:hAnsi="Times New Roman" w:eastAsia="黑体" w:cs="Times New Roman"/>
          <w:color w:val="000000"/>
          <w:sz w:val="72"/>
          <w:szCs w:val="72"/>
        </w:rPr>
      </w:pPr>
      <w:r>
        <w:rPr>
          <w:rFonts w:hint="eastAsia" w:ascii="Times New Roman" w:hAnsi="Times New Roman" w:eastAsia="黑体" w:cs="Times New Roman"/>
          <w:color w:val="000000"/>
          <w:sz w:val="72"/>
          <w:szCs w:val="72"/>
        </w:rPr>
        <w:t>书</w:t>
      </w:r>
    </w:p>
    <w:p>
      <w:pPr>
        <w:pStyle w:val="20"/>
        <w:rPr>
          <w:rFonts w:ascii="Times New Roman" w:hAnsi="Times New Roman" w:eastAsia="黑体" w:cs="Times New Roman"/>
          <w:color w:val="000000"/>
          <w:sz w:val="72"/>
          <w:szCs w:val="72"/>
        </w:rPr>
      </w:pPr>
    </w:p>
    <w:p>
      <w:pPr>
        <w:spacing w:line="860" w:lineRule="exact"/>
        <w:rPr>
          <w:rFonts w:hint="eastAsia" w:ascii="Times New Roman" w:hAnsi="Times New Roman" w:eastAsia="华文仿宋"/>
          <w:sz w:val="32"/>
          <w:szCs w:val="28"/>
        </w:rPr>
      </w:pPr>
      <w:r>
        <w:rPr>
          <w:rFonts w:hint="eastAsia" w:ascii="Times New Roman" w:hAnsi="Times New Roman" w:eastAsia="华文仿宋"/>
          <w:sz w:val="32"/>
          <w:szCs w:val="28"/>
        </w:rPr>
        <w:t xml:space="preserve">                </w:t>
      </w: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jc w:val="both"/>
        <w:rPr>
          <w:rFonts w:ascii="Times New Roman" w:hAnsi="Times New Roman" w:eastAsia="宋体" w:cs="Times New Roman"/>
          <w:color w:val="000000"/>
          <w:sz w:val="28"/>
          <w:szCs w:val="28"/>
        </w:rPr>
      </w:pPr>
    </w:p>
    <w:p>
      <w:pPr>
        <w:jc w:val="center"/>
        <w:rPr>
          <w:rFonts w:ascii="Times New Roman" w:hAnsi="Times New Roman" w:eastAsia="宋体" w:cs="Times New Roman"/>
          <w:color w:val="000000"/>
          <w:sz w:val="28"/>
          <w:szCs w:val="28"/>
        </w:rPr>
      </w:pPr>
      <w:r>
        <w:rPr>
          <w:rFonts w:hint="eastAsia" w:ascii="Times New Roman" w:hAnsi="Times New Roman" w:eastAsia="宋体" w:cs="Times New Roman"/>
          <w:color w:val="000000"/>
          <w:sz w:val="28"/>
          <w:szCs w:val="28"/>
        </w:rPr>
        <w:t>招</w:t>
      </w:r>
      <w:r>
        <w:rPr>
          <w:rFonts w:ascii="Times New Roman" w:hAnsi="Times New Roman" w:eastAsia="宋体" w:cs="Times New Roman"/>
          <w:color w:val="000000"/>
          <w:sz w:val="28"/>
          <w:szCs w:val="28"/>
        </w:rPr>
        <w:t xml:space="preserve"> </w:t>
      </w:r>
      <w:r>
        <w:rPr>
          <w:rFonts w:hint="eastAsia" w:ascii="Times New Roman" w:hAnsi="Times New Roman" w:eastAsia="宋体" w:cs="Times New Roman"/>
          <w:color w:val="000000"/>
          <w:sz w:val="28"/>
          <w:szCs w:val="28"/>
        </w:rPr>
        <w:t>标</w:t>
      </w:r>
      <w:r>
        <w:rPr>
          <w:rFonts w:ascii="Times New Roman" w:hAnsi="Times New Roman" w:eastAsia="宋体" w:cs="Times New Roman"/>
          <w:color w:val="000000"/>
          <w:sz w:val="28"/>
          <w:szCs w:val="28"/>
        </w:rPr>
        <w:t xml:space="preserve"> </w:t>
      </w:r>
      <w:r>
        <w:rPr>
          <w:rFonts w:hint="eastAsia" w:ascii="Times New Roman" w:hAnsi="Times New Roman" w:eastAsia="宋体" w:cs="Times New Roman"/>
          <w:color w:val="000000"/>
          <w:sz w:val="28"/>
          <w:szCs w:val="28"/>
        </w:rPr>
        <w:t>人：中国重汽集团济南动力有限公司</w:t>
      </w:r>
    </w:p>
    <w:p>
      <w:pPr>
        <w:jc w:val="center"/>
        <w:rPr>
          <w:rFonts w:ascii="Times New Roman" w:hAnsi="Times New Roman" w:eastAsia="宋体" w:cs="Times New Roman"/>
          <w:b/>
          <w:bCs/>
          <w:kern w:val="44"/>
          <w:sz w:val="36"/>
          <w:szCs w:val="44"/>
        </w:rPr>
      </w:pPr>
      <w:r>
        <w:rPr>
          <w:rFonts w:ascii="Times New Roman" w:hAnsi="Times New Roman" w:eastAsia="宋体" w:cs="Times New Roman"/>
          <w:color w:val="000000"/>
          <w:sz w:val="28"/>
          <w:szCs w:val="28"/>
        </w:rPr>
        <w:t>202</w:t>
      </w:r>
      <w:r>
        <w:rPr>
          <w:rFonts w:hint="eastAsia" w:ascii="Times New Roman" w:hAnsi="Times New Roman" w:eastAsia="宋体" w:cs="Times New Roman"/>
          <w:color w:val="000000"/>
          <w:sz w:val="28"/>
          <w:szCs w:val="28"/>
        </w:rPr>
        <w:t>5年</w:t>
      </w:r>
      <w:r>
        <w:rPr>
          <w:rFonts w:ascii="Times New Roman" w:hAnsi="Times New Roman" w:eastAsia="宋体" w:cs="Times New Roman"/>
          <w:color w:val="000000"/>
          <w:sz w:val="28"/>
          <w:szCs w:val="28"/>
        </w:rPr>
        <w:t xml:space="preserve"> </w:t>
      </w:r>
      <w:r>
        <w:rPr>
          <w:rFonts w:hint="eastAsia" w:ascii="Times New Roman" w:hAnsi="Times New Roman" w:eastAsia="宋体" w:cs="Times New Roman"/>
          <w:color w:val="000000"/>
          <w:sz w:val="28"/>
          <w:szCs w:val="28"/>
          <w:lang w:val="en-US" w:eastAsia="zh-CN"/>
        </w:rPr>
        <w:t>9</w:t>
      </w:r>
      <w:bookmarkStart w:id="207" w:name="_GoBack"/>
      <w:bookmarkEnd w:id="207"/>
      <w:r>
        <w:rPr>
          <w:rFonts w:hint="eastAsia" w:ascii="Times New Roman" w:hAnsi="Times New Roman" w:eastAsia="宋体" w:cs="Times New Roman"/>
          <w:color w:val="000000"/>
          <w:sz w:val="28"/>
          <w:szCs w:val="28"/>
        </w:rPr>
        <w:t>月</w:t>
      </w:r>
    </w:p>
    <w:p>
      <w:pPr>
        <w:spacing w:line="360" w:lineRule="auto"/>
        <w:rPr>
          <w:rFonts w:ascii="Times New Roman" w:hAnsi="Times New Roman" w:eastAsia="宋体" w:cs="Times New Roman"/>
          <w:b/>
          <w:sz w:val="36"/>
          <w:szCs w:val="36"/>
        </w:rPr>
        <w:sectPr>
          <w:headerReference r:id="rId9" w:type="default"/>
          <w:footerReference r:id="rId10" w:type="default"/>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第一章</w:t>
      </w:r>
      <w:r>
        <w:rPr>
          <w:rFonts w:ascii="Times New Roman" w:hAnsi="Times New Roman" w:eastAsia="宋体" w:cs="Times New Roman"/>
          <w:b/>
          <w:bCs/>
          <w:kern w:val="44"/>
          <w:sz w:val="28"/>
          <w:szCs w:val="28"/>
        </w:rPr>
        <w:t xml:space="preserve">  </w:t>
      </w:r>
      <w:r>
        <w:rPr>
          <w:rFonts w:hint="eastAsia" w:ascii="Times New Roman" w:hAnsi="Times New Roman" w:eastAsia="宋体" w:cs="Times New Roman"/>
          <w:b/>
          <w:bCs/>
          <w:kern w:val="44"/>
          <w:sz w:val="28"/>
          <w:szCs w:val="28"/>
        </w:rPr>
        <w:t>采购货物概况</w:t>
      </w:r>
    </w:p>
    <w:p>
      <w:pPr>
        <w:keepNext/>
        <w:keepLines/>
        <w:spacing w:before="120" w:after="120" w:line="360" w:lineRule="auto"/>
        <w:jc w:val="center"/>
        <w:outlineLvl w:val="2"/>
        <w:rPr>
          <w:rFonts w:ascii="Times New Roman" w:hAnsi="Times New Roman" w:eastAsia="宋体" w:cs="宋体"/>
          <w:b/>
          <w:bCs/>
          <w:sz w:val="24"/>
          <w:szCs w:val="24"/>
        </w:rPr>
      </w:pPr>
      <w:r>
        <w:rPr>
          <w:rFonts w:hint="eastAsia" w:ascii="Times New Roman" w:hAnsi="Times New Roman" w:eastAsia="宋体" w:cs="宋体"/>
          <w:b/>
          <w:bCs/>
          <w:sz w:val="24"/>
          <w:szCs w:val="24"/>
        </w:rPr>
        <w:t>第一节  使用环境</w:t>
      </w:r>
    </w:p>
    <w:p>
      <w:pPr>
        <w:spacing w:line="360" w:lineRule="auto"/>
        <w:outlineLvl w:val="3"/>
        <w:rPr>
          <w:rFonts w:ascii="Times New Roman" w:hAnsi="Times New Roman" w:eastAsia="宋体" w:cs="宋体"/>
          <w:sz w:val="24"/>
          <w:szCs w:val="24"/>
          <w:u w:val="single"/>
          <w:shd w:val="pct10" w:color="auto" w:fill="FFFFFF"/>
        </w:rPr>
      </w:pPr>
      <w:r>
        <w:rPr>
          <w:rFonts w:hint="eastAsia" w:ascii="Times New Roman" w:hAnsi="Times New Roman" w:eastAsia="宋体" w:cs="宋体"/>
          <w:sz w:val="24"/>
          <w:szCs w:val="24"/>
        </w:rPr>
        <w:t>一、项目名称：</w:t>
      </w:r>
      <w:r>
        <w:rPr>
          <w:rFonts w:hint="eastAsia" w:ascii="宋体" w:hAnsi="宋体" w:eastAsia="宋体" w:cs="宋体"/>
          <w:b w:val="0"/>
          <w:bCs w:val="0"/>
          <w:color w:val="000000"/>
          <w:sz w:val="24"/>
          <w:szCs w:val="24"/>
          <w:u w:val="single"/>
        </w:rPr>
        <w:t>中国重汽集团济南动力有限公司</w:t>
      </w:r>
      <w:r>
        <w:rPr>
          <w:rFonts w:hint="eastAsia" w:ascii="宋体" w:hAnsi="宋体" w:eastAsia="宋体" w:cs="宋体"/>
          <w:b w:val="0"/>
          <w:bCs w:val="0"/>
          <w:color w:val="000000"/>
          <w:sz w:val="24"/>
          <w:szCs w:val="24"/>
          <w:u w:val="single"/>
          <w:lang w:val="en-US" w:eastAsia="zh-CN"/>
        </w:rPr>
        <w:t>桌面HIL台架</w:t>
      </w:r>
      <w:r>
        <w:rPr>
          <w:rFonts w:hint="eastAsia" w:ascii="宋体" w:hAnsi="宋体" w:eastAsia="宋体" w:cs="宋体"/>
          <w:b w:val="0"/>
          <w:bCs w:val="0"/>
          <w:color w:val="000000"/>
          <w:sz w:val="24"/>
          <w:szCs w:val="24"/>
          <w:u w:val="single"/>
        </w:rPr>
        <w:t>招标项目</w:t>
      </w:r>
    </w:p>
    <w:p>
      <w:pPr>
        <w:spacing w:line="360" w:lineRule="auto"/>
        <w:outlineLvl w:val="3"/>
        <w:rPr>
          <w:rFonts w:ascii="Times New Roman" w:hAnsi="Times New Roman" w:eastAsia="宋体" w:cs="宋体"/>
          <w:sz w:val="24"/>
          <w:szCs w:val="24"/>
          <w:u w:val="single"/>
          <w:shd w:val="pct10" w:color="auto" w:fill="FFFFFF"/>
        </w:rPr>
      </w:pPr>
      <w:r>
        <w:rPr>
          <w:rFonts w:hint="eastAsia" w:ascii="Times New Roman" w:hAnsi="Times New Roman" w:eastAsia="宋体" w:cs="宋体"/>
          <w:sz w:val="24"/>
          <w:szCs w:val="24"/>
        </w:rPr>
        <w:t>二、建设地点：</w:t>
      </w:r>
      <w:r>
        <w:rPr>
          <w:rFonts w:hint="eastAsia" w:ascii="Times New Roman" w:hAnsi="Times New Roman" w:eastAsia="宋体" w:cs="宋体"/>
          <w:sz w:val="24"/>
          <w:szCs w:val="24"/>
          <w:u w:val="single"/>
        </w:rPr>
        <w:t>济南市高新区华奥路777号中国重汽科技大厦园区</w:t>
      </w:r>
    </w:p>
    <w:p>
      <w:pPr>
        <w:spacing w:line="360" w:lineRule="auto"/>
        <w:outlineLvl w:val="3"/>
        <w:rPr>
          <w:rFonts w:ascii="Times New Roman" w:hAnsi="Times New Roman" w:eastAsia="宋体" w:cs="宋体"/>
          <w:sz w:val="24"/>
          <w:szCs w:val="24"/>
        </w:rPr>
      </w:pPr>
      <w:r>
        <w:rPr>
          <w:rFonts w:hint="eastAsia" w:ascii="Times New Roman" w:hAnsi="Times New Roman" w:eastAsia="宋体" w:cs="宋体"/>
          <w:sz w:val="24"/>
          <w:szCs w:val="24"/>
        </w:rPr>
        <w:t>三、使用地点：</w:t>
      </w:r>
      <w:r>
        <w:rPr>
          <w:rFonts w:hint="eastAsia" w:ascii="Times New Roman" w:hAnsi="Times New Roman" w:eastAsia="宋体" w:cs="宋体"/>
          <w:sz w:val="24"/>
          <w:szCs w:val="24"/>
          <w:u w:val="single"/>
        </w:rPr>
        <w:t>济南市高新区华奥路777号中国重汽科技大厦园区</w:t>
      </w:r>
    </w:p>
    <w:p>
      <w:pPr>
        <w:spacing w:line="360" w:lineRule="auto"/>
        <w:outlineLvl w:val="3"/>
        <w:rPr>
          <w:rFonts w:ascii="Times New Roman" w:hAnsi="Times New Roman" w:eastAsia="宋体" w:cs="宋体"/>
          <w:sz w:val="24"/>
          <w:szCs w:val="24"/>
        </w:rPr>
      </w:pPr>
      <w:r>
        <w:rPr>
          <w:rFonts w:hint="eastAsia" w:ascii="Times New Roman" w:hAnsi="Times New Roman" w:eastAsia="宋体" w:cs="宋体"/>
          <w:sz w:val="24"/>
          <w:szCs w:val="24"/>
        </w:rPr>
        <w:t>四、工作制度：全年工作365天、一班制、设备年时基数</w:t>
      </w:r>
      <w:r>
        <w:rPr>
          <w:rFonts w:ascii="Times New Roman" w:hAnsi="Times New Roman" w:eastAsia="宋体" w:cs="宋体"/>
          <w:sz w:val="24"/>
          <w:szCs w:val="24"/>
        </w:rPr>
        <w:t>4380</w:t>
      </w:r>
      <w:r>
        <w:rPr>
          <w:rFonts w:hint="eastAsia" w:ascii="Times New Roman" w:hAnsi="Times New Roman" w:eastAsia="宋体" w:cs="宋体"/>
          <w:sz w:val="24"/>
          <w:szCs w:val="24"/>
        </w:rPr>
        <w:t>小时。</w:t>
      </w:r>
    </w:p>
    <w:p>
      <w:pPr>
        <w:spacing w:line="360" w:lineRule="auto"/>
        <w:outlineLvl w:val="3"/>
        <w:rPr>
          <w:rFonts w:ascii="Times New Roman" w:hAnsi="Times New Roman" w:eastAsia="宋体" w:cs="宋体"/>
          <w:sz w:val="24"/>
          <w:szCs w:val="24"/>
        </w:rPr>
      </w:pPr>
      <w:r>
        <w:rPr>
          <w:rFonts w:hint="eastAsia" w:ascii="Times New Roman" w:hAnsi="Times New Roman" w:eastAsia="宋体" w:cs="宋体"/>
          <w:sz w:val="24"/>
          <w:szCs w:val="24"/>
        </w:rPr>
        <w:t>五、使用地点区域自然环境：</w:t>
      </w:r>
    </w:p>
    <w:p>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1.海拔高度：4000m以下。</w:t>
      </w:r>
    </w:p>
    <w:p>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2.环境温度：室外极端最低温度-12℃、极端最高温度45℃。</w:t>
      </w:r>
    </w:p>
    <w:p>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3.相对湿度：最大95%、最小15%。</w:t>
      </w:r>
    </w:p>
    <w:p>
      <w:pPr>
        <w:spacing w:line="360" w:lineRule="auto"/>
        <w:outlineLvl w:val="3"/>
        <w:rPr>
          <w:rFonts w:ascii="Times New Roman" w:hAnsi="Times New Roman" w:eastAsia="宋体" w:cs="宋体"/>
          <w:bCs/>
          <w:sz w:val="24"/>
          <w:szCs w:val="24"/>
        </w:rPr>
      </w:pPr>
      <w:r>
        <w:rPr>
          <w:rFonts w:hint="eastAsia" w:ascii="Times New Roman" w:hAnsi="Times New Roman" w:eastAsia="宋体" w:cs="宋体"/>
          <w:bCs/>
          <w:sz w:val="24"/>
          <w:szCs w:val="24"/>
        </w:rPr>
        <w:t>六、使用试验室环境条件：</w:t>
      </w:r>
    </w:p>
    <w:p>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电力：中国制式，供电电压380V±15%/220V±15%，供电频率50Hz±2%；</w:t>
      </w:r>
    </w:p>
    <w:p>
      <w:pPr>
        <w:keepNext/>
        <w:keepLines/>
        <w:spacing w:before="120" w:after="120" w:line="360" w:lineRule="auto"/>
        <w:jc w:val="center"/>
        <w:outlineLvl w:val="2"/>
        <w:rPr>
          <w:rFonts w:ascii="Times New Roman" w:hAnsi="Times New Roman" w:eastAsia="宋体" w:cs="宋体"/>
          <w:b/>
          <w:bCs/>
          <w:sz w:val="24"/>
          <w:szCs w:val="24"/>
        </w:rPr>
      </w:pPr>
      <w:r>
        <w:rPr>
          <w:rFonts w:hint="eastAsia" w:ascii="Times New Roman" w:hAnsi="Times New Roman" w:eastAsia="宋体" w:cs="宋体"/>
          <w:b/>
          <w:bCs/>
          <w:sz w:val="24"/>
          <w:szCs w:val="24"/>
        </w:rPr>
        <w:t>第二节  采购货物概况</w:t>
      </w:r>
    </w:p>
    <w:p>
      <w:pPr>
        <w:spacing w:line="360" w:lineRule="auto"/>
        <w:outlineLvl w:val="3"/>
        <w:rPr>
          <w:rFonts w:ascii="Times New Roman" w:hAnsi="Times New Roman" w:eastAsia="宋体" w:cs="宋体"/>
          <w:sz w:val="24"/>
          <w:szCs w:val="24"/>
        </w:rPr>
      </w:pPr>
      <w:r>
        <w:rPr>
          <w:rFonts w:hint="eastAsia" w:ascii="Times New Roman" w:hAnsi="Times New Roman" w:eastAsia="宋体" w:cs="宋体"/>
          <w:b/>
          <w:sz w:val="24"/>
          <w:szCs w:val="24"/>
        </w:rPr>
        <w:t>一、货物名称：</w:t>
      </w:r>
      <w:r>
        <w:rPr>
          <w:rFonts w:hint="eastAsia" w:ascii="Times New Roman" w:hAnsi="Times New Roman" w:eastAsia="宋体" w:cs="宋体"/>
          <w:sz w:val="24"/>
          <w:szCs w:val="24"/>
          <w:u w:val="single"/>
        </w:rPr>
        <w:t>桌面HIL台架项目</w:t>
      </w:r>
      <w:r>
        <w:rPr>
          <w:rFonts w:hint="eastAsia" w:ascii="Times New Roman" w:hAnsi="Times New Roman" w:eastAsia="宋体" w:cs="宋体"/>
          <w:sz w:val="24"/>
          <w:szCs w:val="24"/>
        </w:rPr>
        <w:t>（详见下表）</w:t>
      </w:r>
    </w:p>
    <w:p>
      <w:pPr>
        <w:spacing w:line="360" w:lineRule="auto"/>
        <w:outlineLvl w:val="3"/>
        <w:rPr>
          <w:rFonts w:ascii="Times New Roman" w:hAnsi="Times New Roman" w:eastAsia="宋体" w:cs="宋体"/>
          <w:sz w:val="24"/>
          <w:szCs w:val="24"/>
        </w:rPr>
      </w:pPr>
      <w:r>
        <w:rPr>
          <w:rFonts w:hint="eastAsia" w:ascii="Times New Roman" w:hAnsi="Times New Roman" w:eastAsia="宋体" w:cs="宋体"/>
          <w:b/>
          <w:sz w:val="24"/>
          <w:szCs w:val="24"/>
        </w:rPr>
        <w:t>二、货物数量：</w:t>
      </w:r>
      <w:r>
        <w:rPr>
          <w:rFonts w:hint="eastAsia" w:ascii="Times New Roman" w:hAnsi="Times New Roman" w:eastAsia="宋体" w:cs="宋体"/>
          <w:bCs/>
          <w:sz w:val="24"/>
          <w:szCs w:val="24"/>
          <w:u w:val="single"/>
        </w:rPr>
        <w:t>6套</w:t>
      </w:r>
      <w:r>
        <w:rPr>
          <w:rFonts w:hint="eastAsia" w:ascii="Times New Roman" w:hAnsi="Times New Roman" w:eastAsia="宋体" w:cs="宋体"/>
          <w:sz w:val="24"/>
          <w:szCs w:val="24"/>
        </w:rPr>
        <w:t>（详见下表）</w:t>
      </w:r>
    </w:p>
    <w:p>
      <w:pPr>
        <w:spacing w:line="360" w:lineRule="auto"/>
        <w:outlineLvl w:val="3"/>
        <w:rPr>
          <w:rFonts w:ascii="Times New Roman" w:hAnsi="Times New Roman" w:eastAsia="宋体" w:cs="宋体"/>
          <w:b/>
          <w:sz w:val="24"/>
          <w:szCs w:val="24"/>
        </w:rPr>
      </w:pPr>
      <w:r>
        <w:rPr>
          <w:rFonts w:hint="eastAsia" w:ascii="Times New Roman" w:hAnsi="Times New Roman" w:eastAsia="宋体" w:cs="宋体"/>
          <w:b/>
          <w:sz w:val="24"/>
          <w:szCs w:val="24"/>
        </w:rPr>
        <w:t>三、分投分中：不允许</w:t>
      </w:r>
    </w:p>
    <w:p>
      <w:pPr>
        <w:spacing w:line="360" w:lineRule="auto"/>
        <w:jc w:val="center"/>
        <w:rPr>
          <w:rFonts w:ascii="Times New Roman" w:hAnsi="Times New Roman" w:eastAsia="宋体" w:cs="宋体"/>
          <w:b/>
          <w:bCs/>
          <w:sz w:val="24"/>
          <w:szCs w:val="24"/>
        </w:rPr>
      </w:pPr>
      <w:r>
        <w:rPr>
          <w:rFonts w:hint="eastAsia" w:ascii="Times New Roman" w:hAnsi="Times New Roman" w:eastAsia="宋体" w:cs="宋体"/>
          <w:b/>
          <w:bCs/>
          <w:sz w:val="24"/>
          <w:szCs w:val="24"/>
        </w:rPr>
        <w:t>采购货物主要构成一览表</w:t>
      </w:r>
    </w:p>
    <w:tbl>
      <w:tblPr>
        <w:tblStyle w:val="39"/>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919"/>
        <w:gridCol w:w="2559"/>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Times New Roman" w:hAnsi="Times New Roman" w:eastAsia="宋体" w:cs="宋体"/>
                <w:sz w:val="24"/>
                <w:szCs w:val="24"/>
              </w:rPr>
            </w:pPr>
            <w:r>
              <w:rPr>
                <w:rFonts w:hint="eastAsia" w:ascii="Times New Roman" w:hAnsi="Times New Roman" w:eastAsia="宋体" w:cs="宋体"/>
                <w:sz w:val="24"/>
                <w:szCs w:val="24"/>
              </w:rPr>
              <w:t>序号</w:t>
            </w:r>
          </w:p>
        </w:tc>
        <w:tc>
          <w:tcPr>
            <w:tcW w:w="2919" w:type="dxa"/>
            <w:vAlign w:val="center"/>
          </w:tcPr>
          <w:p>
            <w:pPr>
              <w:jc w:val="center"/>
              <w:rPr>
                <w:rFonts w:ascii="Times New Roman" w:hAnsi="Times New Roman" w:eastAsia="宋体" w:cs="宋体"/>
                <w:sz w:val="24"/>
                <w:szCs w:val="24"/>
              </w:rPr>
            </w:pPr>
            <w:r>
              <w:rPr>
                <w:rFonts w:hint="eastAsia" w:ascii="Times New Roman" w:hAnsi="Times New Roman" w:eastAsia="宋体" w:cs="宋体"/>
                <w:sz w:val="24"/>
                <w:szCs w:val="24"/>
              </w:rPr>
              <w:t>名称</w:t>
            </w:r>
          </w:p>
        </w:tc>
        <w:tc>
          <w:tcPr>
            <w:tcW w:w="2559" w:type="dxa"/>
            <w:vAlign w:val="center"/>
          </w:tcPr>
          <w:p>
            <w:pPr>
              <w:jc w:val="center"/>
              <w:rPr>
                <w:rFonts w:ascii="Times New Roman" w:hAnsi="Times New Roman" w:eastAsia="宋体" w:cs="宋体"/>
                <w:sz w:val="24"/>
                <w:szCs w:val="24"/>
              </w:rPr>
            </w:pPr>
            <w:r>
              <w:rPr>
                <w:rFonts w:hint="eastAsia" w:ascii="Times New Roman" w:hAnsi="Times New Roman" w:eastAsia="宋体" w:cs="宋体"/>
                <w:sz w:val="24"/>
                <w:szCs w:val="24"/>
              </w:rPr>
              <w:t>型号规格</w:t>
            </w:r>
          </w:p>
        </w:tc>
        <w:tc>
          <w:tcPr>
            <w:tcW w:w="1513" w:type="dxa"/>
            <w:vAlign w:val="center"/>
          </w:tcPr>
          <w:p>
            <w:pPr>
              <w:jc w:val="center"/>
              <w:rPr>
                <w:rFonts w:ascii="Times New Roman" w:hAnsi="Times New Roman" w:eastAsia="宋体" w:cs="宋体"/>
                <w:sz w:val="24"/>
                <w:szCs w:val="24"/>
              </w:rPr>
            </w:pPr>
            <w:r>
              <w:rPr>
                <w:rFonts w:hint="eastAsia" w:ascii="Times New Roman" w:hAnsi="Times New Roman" w:eastAsia="宋体" w:cs="宋体"/>
                <w:sz w:val="24"/>
                <w:szCs w:val="24"/>
              </w:rPr>
              <w:t>单位</w:t>
            </w:r>
          </w:p>
        </w:tc>
        <w:tc>
          <w:tcPr>
            <w:tcW w:w="1105" w:type="dxa"/>
            <w:vAlign w:val="center"/>
          </w:tcPr>
          <w:p>
            <w:pPr>
              <w:jc w:val="center"/>
              <w:rPr>
                <w:rFonts w:ascii="Times New Roman" w:hAnsi="Times New Roman" w:eastAsia="宋体" w:cs="宋体"/>
                <w:sz w:val="24"/>
                <w:szCs w:val="24"/>
              </w:rPr>
            </w:pPr>
            <w:r>
              <w:rPr>
                <w:rFonts w:hint="eastAsia" w:ascii="Times New Roman" w:hAnsi="Times New Roman" w:eastAsia="宋体" w:cs="宋体"/>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Times New Roman" w:hAnsi="Times New Roman" w:eastAsia="宋体" w:cs="宋体"/>
                <w:sz w:val="24"/>
                <w:szCs w:val="24"/>
              </w:rPr>
            </w:pPr>
            <w:r>
              <w:rPr>
                <w:rFonts w:hint="eastAsia" w:ascii="Times New Roman" w:hAnsi="Times New Roman" w:eastAsia="宋体" w:cs="宋体"/>
                <w:sz w:val="24"/>
                <w:szCs w:val="24"/>
              </w:rPr>
              <w:t>1</w:t>
            </w:r>
          </w:p>
        </w:tc>
        <w:tc>
          <w:tcPr>
            <w:tcW w:w="2919" w:type="dxa"/>
            <w:vAlign w:val="center"/>
          </w:tcPr>
          <w:p>
            <w:pPr>
              <w:jc w:val="center"/>
              <w:rPr>
                <w:rFonts w:ascii="Times New Roman" w:hAnsi="Times New Roman" w:eastAsia="宋体" w:cs="宋体"/>
                <w:sz w:val="24"/>
                <w:szCs w:val="24"/>
              </w:rPr>
            </w:pPr>
            <w:r>
              <w:rPr>
                <w:rFonts w:hint="eastAsia" w:ascii="宋体" w:hAnsi="宋体" w:eastAsia="宋体" w:cs="宋体"/>
                <w:b w:val="0"/>
                <w:bCs w:val="0"/>
                <w:color w:val="000000"/>
                <w:sz w:val="24"/>
                <w:szCs w:val="24"/>
                <w:u w:val="single"/>
              </w:rPr>
              <w:t>中国重汽集团济南动力有限公司</w:t>
            </w:r>
            <w:r>
              <w:rPr>
                <w:rFonts w:hint="eastAsia" w:ascii="宋体" w:hAnsi="宋体" w:eastAsia="宋体" w:cs="宋体"/>
                <w:b w:val="0"/>
                <w:bCs w:val="0"/>
                <w:color w:val="000000"/>
                <w:sz w:val="24"/>
                <w:szCs w:val="24"/>
                <w:u w:val="single"/>
                <w:lang w:val="en-US" w:eastAsia="zh-CN"/>
              </w:rPr>
              <w:t>桌面HIL台架</w:t>
            </w:r>
          </w:p>
        </w:tc>
        <w:tc>
          <w:tcPr>
            <w:tcW w:w="2559" w:type="dxa"/>
            <w:vAlign w:val="center"/>
          </w:tcPr>
          <w:p>
            <w:pPr>
              <w:jc w:val="center"/>
              <w:rPr>
                <w:rFonts w:ascii="Times New Roman" w:hAnsi="Times New Roman" w:eastAsia="宋体" w:cs="宋体"/>
                <w:sz w:val="24"/>
                <w:szCs w:val="24"/>
              </w:rPr>
            </w:pPr>
            <w:r>
              <w:rPr>
                <w:rFonts w:hint="eastAsia" w:ascii="Times New Roman" w:hAnsi="Times New Roman" w:eastAsia="宋体" w:cs="宋体"/>
                <w:sz w:val="24"/>
                <w:szCs w:val="24"/>
              </w:rPr>
              <w:t>见第二章技术要求</w:t>
            </w:r>
          </w:p>
        </w:tc>
        <w:tc>
          <w:tcPr>
            <w:tcW w:w="1513" w:type="dxa"/>
            <w:vAlign w:val="center"/>
          </w:tcPr>
          <w:p>
            <w:pPr>
              <w:jc w:val="center"/>
              <w:rPr>
                <w:rFonts w:ascii="Times New Roman" w:hAnsi="Times New Roman" w:eastAsia="宋体" w:cs="宋体"/>
                <w:sz w:val="24"/>
                <w:szCs w:val="24"/>
              </w:rPr>
            </w:pPr>
            <w:r>
              <w:rPr>
                <w:rFonts w:hint="eastAsia" w:ascii="Times New Roman" w:hAnsi="Times New Roman" w:eastAsia="宋体" w:cs="宋体"/>
                <w:sz w:val="24"/>
                <w:szCs w:val="24"/>
              </w:rPr>
              <w:t>套</w:t>
            </w:r>
          </w:p>
        </w:tc>
        <w:tc>
          <w:tcPr>
            <w:tcW w:w="1105" w:type="dxa"/>
            <w:vAlign w:val="center"/>
          </w:tcPr>
          <w:p>
            <w:pPr>
              <w:jc w:val="center"/>
              <w:rPr>
                <w:rFonts w:ascii="Times New Roman" w:hAnsi="Times New Roman" w:eastAsia="宋体" w:cs="宋体"/>
                <w:sz w:val="24"/>
                <w:szCs w:val="24"/>
              </w:rPr>
            </w:pPr>
            <w:r>
              <w:rPr>
                <w:rFonts w:hint="eastAsia" w:ascii="Times New Roman" w:hAnsi="Times New Roman" w:eastAsia="宋体" w:cs="宋体"/>
                <w:sz w:val="24"/>
                <w:szCs w:val="24"/>
              </w:rPr>
              <w:t>6</w:t>
            </w:r>
          </w:p>
        </w:tc>
      </w:tr>
    </w:tbl>
    <w:p>
      <w:pPr>
        <w:spacing w:before="120" w:beforeLines="50"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2.本表“供货方式”指：交钥匙方式——包括制造、运输、定点卸货、安装、调试和协助验收以及约定培训等。</w:t>
      </w:r>
    </w:p>
    <w:p>
      <w:pPr>
        <w:spacing w:line="360" w:lineRule="auto"/>
        <w:outlineLvl w:val="3"/>
        <w:rPr>
          <w:rFonts w:ascii="Times New Roman" w:hAnsi="Times New Roman" w:eastAsia="宋体" w:cs="宋体"/>
          <w:b/>
          <w:sz w:val="24"/>
          <w:szCs w:val="24"/>
        </w:rPr>
      </w:pPr>
      <w:r>
        <w:rPr>
          <w:rFonts w:hint="eastAsia" w:ascii="Times New Roman" w:hAnsi="Times New Roman" w:eastAsia="宋体" w:cs="宋体"/>
          <w:b/>
          <w:sz w:val="24"/>
          <w:szCs w:val="24"/>
        </w:rPr>
        <w:t>四、采购货物特别说明</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招标人所列货物的名称和规格型号，如为某一供应商所特有，则该名称和规格型号可作参考，但要求投标人所提供的货物必须满足本技术标书实质性要求。</w:t>
      </w:r>
    </w:p>
    <w:p>
      <w:pPr>
        <w:pStyle w:val="2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本项目涉及设备部分为进口品牌，于第二章技术要求部分具体约束。</w:t>
      </w:r>
    </w:p>
    <w:p>
      <w:pPr>
        <w:pStyle w:val="16"/>
        <w:spacing w:before="0" w:after="0" w:afterLines="0"/>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本项目涉及设备，需按甲方要求提供设备零部件明细，并进行价格拆解。</w:t>
      </w:r>
    </w:p>
    <w:p>
      <w:pPr>
        <w:pStyle w:val="16"/>
        <w:spacing w:before="0" w:after="0" w:afterLines="0"/>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本项目涉及的所有设备通讯协议需在技术方案评审时一并免费提交给招标方，并协助招标方开展设备集成工作。</w:t>
      </w:r>
    </w:p>
    <w:p>
      <w:pPr>
        <w:pStyle w:val="16"/>
        <w:spacing w:before="0" w:after="0" w:afterLines="0"/>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各单元原理图、电路图、程序框图、技术规格和指标、接口协议、各部件型号和参数清单在协议签订2个月内提供。</w:t>
      </w:r>
    </w:p>
    <w:p>
      <w:pPr>
        <w:widowControl/>
        <w:jc w:val="left"/>
        <w:rPr>
          <w:rFonts w:ascii="Times New Roman" w:hAnsi="Times New Roman"/>
        </w:rPr>
      </w:pPr>
      <w:r>
        <w:rPr>
          <w:rFonts w:ascii="Times New Roman" w:hAnsi="Times New Roman"/>
        </w:rPr>
        <w:br w:type="page"/>
      </w:r>
    </w:p>
    <w:p>
      <w:pPr>
        <w:keepNext/>
        <w:keepLines/>
        <w:spacing w:before="120" w:after="120" w:line="480" w:lineRule="exact"/>
        <w:jc w:val="center"/>
        <w:outlineLvl w:val="1"/>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第二章  技术要求</w:t>
      </w:r>
    </w:p>
    <w:p>
      <w:pPr>
        <w:spacing w:line="360" w:lineRule="auto"/>
        <w:rPr>
          <w:rFonts w:ascii="Times New Roman" w:hAnsi="Times New Roman" w:eastAsia="宋体" w:cs="宋体"/>
          <w:sz w:val="24"/>
          <w:szCs w:val="24"/>
        </w:rPr>
      </w:pPr>
      <w:r>
        <w:rPr>
          <w:rFonts w:hint="eastAsia" w:ascii="Times New Roman" w:hAnsi="Times New Roman" w:eastAsia="宋体" w:cs="宋体"/>
          <w:sz w:val="24"/>
          <w:szCs w:val="24"/>
        </w:rPr>
        <w:t>一、特别提示</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1.本章技术要求，仅对功能、设计、结构、性能、安装和试验检验等方面，提出了最低和一般性的技术要求，并未对一切技术细节作出规定。</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2.本技术要求所使用的标准、规范等，如与投标人所执行的标准、规范不一致时，应按高于本技术要求所列的标准、规范执行。</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bCs/>
          <w:sz w:val="24"/>
          <w:szCs w:val="24"/>
        </w:rPr>
        <w:t>4.投标人应根据招投标货物具体要求，提出</w:t>
      </w:r>
      <w:r>
        <w:rPr>
          <w:rFonts w:hint="eastAsia" w:ascii="Times New Roman" w:hAnsi="Times New Roman" w:eastAsia="宋体" w:cs="宋体"/>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ind w:firstLine="420"/>
        <w:rPr>
          <w:rFonts w:ascii="Times New Roman" w:hAnsi="Times New Roman" w:eastAsia="宋体" w:cs="宋体"/>
          <w:sz w:val="24"/>
          <w:szCs w:val="24"/>
        </w:rPr>
      </w:pPr>
      <w:r>
        <w:rPr>
          <w:rFonts w:hint="eastAsia" w:ascii="Times New Roman" w:hAnsi="Times New Roman" w:eastAsia="宋体" w:cs="宋体"/>
          <w:sz w:val="24"/>
          <w:szCs w:val="24"/>
        </w:rPr>
        <w:t>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6.为避免投标人优势在招标评审时漏项，质保期超出本技术标书要求的，应当在投标文件“技术偏离”中特别注明。</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7.投标文件中，针对“特别提示”条款所做的回应，将作为投标人能否中标的重要依据之一。</w:t>
      </w:r>
    </w:p>
    <w:p>
      <w:pPr>
        <w:spacing w:line="360" w:lineRule="auto"/>
        <w:rPr>
          <w:rFonts w:ascii="Times New Roman" w:hAnsi="Times New Roman" w:eastAsia="宋体" w:cs="宋体"/>
          <w:sz w:val="24"/>
          <w:szCs w:val="24"/>
        </w:rPr>
      </w:pPr>
      <w:r>
        <w:rPr>
          <w:rFonts w:hint="eastAsia" w:ascii="Times New Roman" w:hAnsi="Times New Roman" w:eastAsia="宋体" w:cs="宋体"/>
          <w:sz w:val="24"/>
          <w:szCs w:val="24"/>
        </w:rPr>
        <w:t>二、基本要求</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1.投标人所供的货物，必须符合中国最新版的法律、法规和相关标准、规范的要求，符合项目所在地政府有关特殊要求。</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2.投标人所供货物涉及的专利权技术以及知识产权保护的其它技术等，应保证招标人不因此受到任何侵权指控以及实际损失。</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3.投标人应保证所供货物的先进性、可靠性、经济性和实用性，并为全新货物（或设备）。</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4.投标人应满足招标人提出的各项技术要求，必要时应当免费提供技术承诺或担保。</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宋体"/>
          <w:sz w:val="24"/>
          <w:szCs w:val="24"/>
        </w:rPr>
        <w:t>，</w:t>
      </w:r>
      <w:r>
        <w:rPr>
          <w:rFonts w:hint="eastAsia" w:ascii="宋体" w:hAnsi="宋体" w:eastAsia="宋体" w:cs="Times New Roman"/>
          <w:b/>
          <w:bCs/>
          <w:sz w:val="24"/>
          <w:szCs w:val="24"/>
          <w:highlight w:val="yellow"/>
        </w:rPr>
        <w:t>电机功率≥7.5kw,必须选用一级能效</w:t>
      </w:r>
      <w:r>
        <w:rPr>
          <w:rFonts w:hint="eastAsia" w:ascii="宋体" w:hAnsi="宋体" w:eastAsia="宋体" w:cs="宋体"/>
          <w:color w:val="000000"/>
          <w:sz w:val="24"/>
          <w:szCs w:val="24"/>
          <w:highlight w:val="yellow"/>
        </w:rPr>
        <w:t>（按国标计算）</w:t>
      </w:r>
      <w:r>
        <w:rPr>
          <w:rFonts w:hint="eastAsia" w:ascii="宋体" w:hAnsi="宋体" w:eastAsia="宋体" w:cs="Times New Roman"/>
          <w:b/>
          <w:bCs/>
          <w:sz w:val="24"/>
          <w:szCs w:val="24"/>
          <w:highlight w:val="yellow"/>
        </w:rPr>
        <w:t>，电机功率&lt;7.5kw，优先选用一级能效:其中能源供应设备及年运行时间≥2000h 工艺设备电机必须选用一级能效</w:t>
      </w:r>
      <w:r>
        <w:rPr>
          <w:rFonts w:hint="eastAsia" w:ascii="Times New Roman" w:hAnsi="Times New Roman" w:eastAsia="宋体" w:cs="宋体"/>
          <w:sz w:val="24"/>
          <w:szCs w:val="24"/>
        </w:rPr>
        <w:t>。</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6.投标人应保证所供货物的完整性和成套性，能保证货物的正常运行、使用。</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7.投标人应对招标人采购的货物所涉及的技术、产能等信息负有保密义务，招标人拥有追究投标人泄密责任的权利；招标人如有需要，投标人应无条件签署保密协议。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8.程序图纸要求</w:t>
      </w:r>
    </w:p>
    <w:p>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8.1 供方必须提供所有设备程序的源代码，包括但不限于 PLC程序、HMI 程序、机器人程序、视觉程序、伺服等。</w:t>
      </w:r>
    </w:p>
    <w:p>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8.2 供方所提供的程序不得设置任何密码、保护等限制手段，PLC 不得设置修改下载权限，功能块不得设置密码保护。</w:t>
      </w:r>
    </w:p>
    <w:p>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8.3 HMI 界面等需要密码保护的程序，供方必须提供所有级别的用户名、密码。</w:t>
      </w:r>
    </w:p>
    <w:p>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8.4 供方需在设备入场前提供设备程序源码，HMI 界面各级用户名和密码，并保证与现场程序一致。</w:t>
      </w:r>
    </w:p>
    <w:p>
      <w:pPr>
        <w:spacing w:line="360" w:lineRule="auto"/>
        <w:ind w:firstLine="480" w:firstLineChars="200"/>
        <w:rPr>
          <w:rFonts w:ascii="宋体" w:hAnsi="宋体" w:eastAsia="宋体" w:cs="Times New Roman"/>
          <w:sz w:val="24"/>
          <w:szCs w:val="24"/>
          <w:highlight w:val="yellow"/>
        </w:rPr>
      </w:pPr>
      <w:r>
        <w:rPr>
          <w:rFonts w:hint="eastAsia" w:ascii="宋体" w:hAnsi="宋体" w:eastAsia="宋体" w:cs="Times New Roman"/>
          <w:sz w:val="24"/>
          <w:szCs w:val="24"/>
          <w:highlight w:val="yellow"/>
        </w:rPr>
        <w:t>8.5 供方需在终验收前提供最新的设备程序源码和电气图纸，图纸要求为可编辑原格式（EPLAN、CAD 格式）且与实际接线一致。</w:t>
      </w:r>
    </w:p>
    <w:p>
      <w:pPr>
        <w:pStyle w:val="34"/>
        <w:widowControl/>
        <w:spacing w:line="360" w:lineRule="auto"/>
        <w:ind w:firstLine="386"/>
        <w:rPr>
          <w:rFonts w:ascii="宋体" w:hAnsi="宋体" w:cs="宋体"/>
          <w:color w:val="000000"/>
          <w:szCs w:val="24"/>
          <w:highlight w:val="yellow"/>
        </w:rPr>
      </w:pPr>
      <w:r>
        <w:rPr>
          <w:rFonts w:hint="eastAsia" w:ascii="宋体" w:hAnsi="宋体" w:cs="宋体"/>
          <w:color w:val="000000"/>
          <w:szCs w:val="24"/>
          <w:highlight w:val="yellow"/>
        </w:rPr>
        <w:t>9.接口协议要求</w:t>
      </w:r>
    </w:p>
    <w:p>
      <w:pPr>
        <w:pStyle w:val="34"/>
        <w:widowControl/>
        <w:spacing w:line="360" w:lineRule="auto"/>
        <w:ind w:firstLine="386"/>
        <w:rPr>
          <w:rFonts w:ascii="宋体" w:hAnsi="宋体" w:cs="宋体"/>
          <w:color w:val="000000"/>
          <w:szCs w:val="24"/>
          <w:highlight w:val="yellow"/>
        </w:rPr>
      </w:pPr>
      <w:r>
        <w:rPr>
          <w:rFonts w:hint="eastAsia" w:ascii="宋体" w:hAnsi="宋体" w:cs="宋体"/>
          <w:color w:val="000000"/>
          <w:szCs w:val="24"/>
          <w:highlight w:val="yellow"/>
        </w:rPr>
        <w:t>9.1 供方免费开放所有通讯接口，包括但不限于以太网</w:t>
      </w:r>
    </w:p>
    <w:p>
      <w:pPr>
        <w:pStyle w:val="34"/>
        <w:widowControl/>
        <w:spacing w:line="360" w:lineRule="auto"/>
        <w:ind w:firstLine="386"/>
        <w:rPr>
          <w:rFonts w:ascii="宋体" w:hAnsi="宋体" w:cs="宋体"/>
          <w:color w:val="000000"/>
          <w:szCs w:val="24"/>
          <w:highlight w:val="yellow"/>
        </w:rPr>
      </w:pPr>
      <w:r>
        <w:rPr>
          <w:rFonts w:hint="eastAsia" w:ascii="宋体" w:hAnsi="宋体" w:cs="宋体"/>
          <w:color w:val="000000"/>
          <w:szCs w:val="24"/>
          <w:highlight w:val="yellow"/>
        </w:rPr>
        <w:t>RS232、RS485、PROFIBUS、PROFINET、MODBUS 等常见接口，以及设备特有的专用接口。</w:t>
      </w:r>
    </w:p>
    <w:p>
      <w:pPr>
        <w:pStyle w:val="34"/>
        <w:widowControl/>
        <w:spacing w:line="360" w:lineRule="auto"/>
        <w:ind w:firstLine="386"/>
        <w:rPr>
          <w:rFonts w:ascii="宋体" w:hAnsi="宋体" w:cs="宋体"/>
          <w:color w:val="000000"/>
          <w:szCs w:val="24"/>
          <w:highlight w:val="yellow"/>
        </w:rPr>
      </w:pPr>
      <w:r>
        <w:rPr>
          <w:rFonts w:hint="eastAsia" w:ascii="宋体" w:hAnsi="宋体" w:cs="宋体"/>
          <w:color w:val="000000"/>
          <w:szCs w:val="24"/>
          <w:highlight w:val="yellow"/>
        </w:rPr>
        <w:t>9.2 供方免费提供数据交互功能，交互数据包括但不限于实时数据、历史数据、报警信息等。</w:t>
      </w:r>
    </w:p>
    <w:p>
      <w:pPr>
        <w:pStyle w:val="34"/>
        <w:widowControl/>
        <w:spacing w:line="360" w:lineRule="auto"/>
        <w:ind w:firstLine="386"/>
        <w:rPr>
          <w:rFonts w:ascii="宋体" w:hAnsi="宋体" w:cs="宋体"/>
          <w:color w:val="000000"/>
          <w:szCs w:val="24"/>
          <w:highlight w:val="yellow"/>
        </w:rPr>
      </w:pPr>
      <w:r>
        <w:rPr>
          <w:rFonts w:hint="eastAsia" w:ascii="宋体" w:hAnsi="宋体" w:cs="宋体"/>
          <w:color w:val="000000"/>
          <w:szCs w:val="24"/>
          <w:highlight w:val="yellow"/>
        </w:rPr>
        <w:t>9.3 供方在设备入场前提供接口的技术文档和参数说明，包括但不限于接口协议、通讯速率、数据格式等。</w:t>
      </w:r>
    </w:p>
    <w:p>
      <w:pPr>
        <w:spacing w:line="360" w:lineRule="auto"/>
        <w:ind w:firstLine="480" w:firstLineChars="200"/>
      </w:pPr>
      <w:r>
        <w:rPr>
          <w:rFonts w:hint="eastAsia" w:ascii="宋体" w:hAnsi="宋体" w:eastAsia="宋体" w:cs="宋体"/>
          <w:color w:val="000000"/>
          <w:sz w:val="24"/>
          <w:szCs w:val="24"/>
          <w:highlight w:val="yellow"/>
        </w:rPr>
        <w:t>9.4 设备使用周期内，供方免费派遣技术人员与甲方调试团队共同进行设备通讯接口的调试工作</w:t>
      </w:r>
      <w:r>
        <w:rPr>
          <w:rFonts w:hint="eastAsia" w:ascii="Times New Roman" w:hAnsi="Times New Roman" w:eastAsia="宋体" w:cs="Times New Roman"/>
          <w:sz w:val="24"/>
          <w:szCs w:val="24"/>
          <w:highlight w:val="yellow"/>
        </w:rPr>
        <w:t>。</w:t>
      </w:r>
    </w:p>
    <w:p>
      <w:pPr>
        <w:spacing w:line="360" w:lineRule="auto"/>
        <w:rPr>
          <w:rFonts w:ascii="Times New Roman" w:hAnsi="Times New Roman" w:eastAsia="宋体" w:cs="宋体"/>
          <w:sz w:val="24"/>
          <w:szCs w:val="24"/>
        </w:rPr>
      </w:pPr>
      <w:r>
        <w:rPr>
          <w:rFonts w:hint="eastAsia" w:ascii="Times New Roman" w:hAnsi="Times New Roman" w:eastAsia="宋体" w:cs="宋体"/>
          <w:sz w:val="24"/>
          <w:szCs w:val="24"/>
        </w:rPr>
        <w:t>三、技术要求</w:t>
      </w:r>
    </w:p>
    <w:p>
      <w:pPr>
        <w:spacing w:line="360" w:lineRule="auto"/>
        <w:outlineLvl w:val="2"/>
        <w:rPr>
          <w:rFonts w:ascii="Times New Roman" w:hAnsi="Times New Roman" w:eastAsia="宋体" w:cs="Times New Roman"/>
          <w:b/>
          <w:bCs/>
          <w:sz w:val="24"/>
          <w:szCs w:val="24"/>
        </w:rPr>
      </w:pPr>
      <w:bookmarkStart w:id="31" w:name="_Hlk132112785"/>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设备名称</w:t>
      </w:r>
      <w:r>
        <w:rPr>
          <w:rFonts w:hint="eastAsia" w:ascii="Times New Roman" w:hAnsi="Times New Roman" w:eastAsia="宋体" w:cs="Times New Roman"/>
          <w:b/>
          <w:bCs/>
          <w:sz w:val="24"/>
          <w:szCs w:val="24"/>
        </w:rPr>
        <w:t>和数量</w:t>
      </w:r>
    </w:p>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桌面HIL测试系统，6套：</w:t>
      </w:r>
    </w:p>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设备</w:t>
      </w:r>
      <w:r>
        <w:rPr>
          <w:rFonts w:hint="eastAsia" w:ascii="Times New Roman" w:hAnsi="Times New Roman" w:eastAsia="宋体" w:cs="Times New Roman"/>
          <w:b/>
          <w:bCs/>
          <w:sz w:val="24"/>
          <w:szCs w:val="24"/>
        </w:rPr>
        <w:t>总体要求</w:t>
      </w:r>
    </w:p>
    <w:p>
      <w:pPr>
        <w:spacing w:line="360" w:lineRule="auto"/>
        <w:outlineLvl w:val="3"/>
        <w:rPr>
          <w:rFonts w:ascii="Times New Roman" w:hAnsi="Times New Roman" w:eastAsia="宋体" w:cs="Times New Roman"/>
          <w:b/>
          <w:bCs/>
          <w:sz w:val="24"/>
          <w:szCs w:val="24"/>
        </w:rPr>
      </w:pPr>
      <w:bookmarkStart w:id="32" w:name="_Toc57821194"/>
      <w:bookmarkStart w:id="33" w:name="_Toc57812079"/>
      <w:bookmarkStart w:id="34" w:name="_Toc57811859"/>
      <w:bookmarkStart w:id="35" w:name="_Hlk80456961"/>
      <w:r>
        <w:rPr>
          <w:rFonts w:hint="eastAsia" w:ascii="Times New Roman" w:hAnsi="Times New Roman" w:eastAsia="宋体" w:cs="Times New Roman"/>
          <w:b/>
          <w:bCs/>
          <w:sz w:val="24"/>
          <w:szCs w:val="24"/>
        </w:rPr>
        <w:t>2.1</w:t>
      </w:r>
      <w:r>
        <w:rPr>
          <w:rFonts w:ascii="Times New Roman" w:hAnsi="Times New Roman" w:eastAsia="宋体" w:cs="Times New Roman"/>
          <w:b/>
          <w:bCs/>
          <w:sz w:val="24"/>
          <w:szCs w:val="24"/>
        </w:rPr>
        <w:t>设备</w:t>
      </w:r>
      <w:bookmarkEnd w:id="32"/>
      <w:bookmarkEnd w:id="33"/>
      <w:bookmarkEnd w:id="34"/>
      <w:r>
        <w:rPr>
          <w:rFonts w:hint="eastAsia" w:ascii="Times New Roman" w:hAnsi="Times New Roman" w:eastAsia="宋体" w:cs="Times New Roman"/>
          <w:b/>
          <w:bCs/>
          <w:sz w:val="24"/>
          <w:szCs w:val="24"/>
        </w:rPr>
        <w:t>用途</w:t>
      </w:r>
      <w:bookmarkEnd w:id="35"/>
    </w:p>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桌面HIL测试系统用于XEV混动系统（P</w:t>
      </w:r>
      <w:r>
        <w:rPr>
          <w:rFonts w:ascii="Times New Roman" w:hAnsi="Times New Roman" w:eastAsia="宋体" w:cs="Times New Roman"/>
          <w:sz w:val="24"/>
          <w:szCs w:val="21"/>
        </w:rPr>
        <w:t>2+</w:t>
      </w:r>
      <w:r>
        <w:rPr>
          <w:rFonts w:hint="eastAsia" w:ascii="Times New Roman" w:hAnsi="Times New Roman" w:eastAsia="宋体" w:cs="Times New Roman"/>
          <w:sz w:val="24"/>
          <w:szCs w:val="21"/>
        </w:rPr>
        <w:t>P</w:t>
      </w:r>
      <w:r>
        <w:rPr>
          <w:rFonts w:ascii="Times New Roman" w:hAnsi="Times New Roman" w:eastAsia="宋体" w:cs="Times New Roman"/>
          <w:sz w:val="24"/>
          <w:szCs w:val="21"/>
        </w:rPr>
        <w:t>4</w:t>
      </w:r>
      <w:r>
        <w:rPr>
          <w:rFonts w:hint="eastAsia" w:ascii="Times New Roman" w:hAnsi="Times New Roman" w:eastAsia="宋体" w:cs="Times New Roman"/>
          <w:sz w:val="24"/>
          <w:szCs w:val="21"/>
        </w:rPr>
        <w:t>）、P2混动系统、增程混动系统、EBS、EHPS、ECAS各控制器的功能测试、自动化测试，其中混合动力系统车辆物理模型支持的控制器调试功能包括但不限于整车控制、热管理控制、AMT变速箱控制、电驱桥换挡变速箱控制、PCC控制、PGS控制、PHC控制等。本测试系统是基于HIL技术的车辆仿真测试平台，主要实现车辆整车模型的实时运行，模拟被测控制器的输入信号，采集各控制器的输出和必要的输入信号，实现控制器对实时模型的闭环控制。</w:t>
      </w:r>
    </w:p>
    <w:p>
      <w:pPr>
        <w:spacing w:line="360" w:lineRule="auto"/>
        <w:outlineLvl w:val="3"/>
        <w:rPr>
          <w:rFonts w:ascii="Times New Roman" w:hAnsi="Times New Roman" w:eastAsia="宋体" w:cs="Times New Roman"/>
          <w:b/>
          <w:bCs/>
          <w:sz w:val="24"/>
          <w:szCs w:val="24"/>
        </w:rPr>
      </w:pPr>
      <w:bookmarkStart w:id="36" w:name="_Hlk80456973"/>
      <w:r>
        <w:rPr>
          <w:rFonts w:hint="eastAsia" w:ascii="Times New Roman" w:hAnsi="Times New Roman" w:eastAsia="宋体" w:cs="Times New Roman"/>
          <w:b/>
          <w:bCs/>
          <w:sz w:val="24"/>
          <w:szCs w:val="24"/>
        </w:rPr>
        <w:t>2.2设备功能</w:t>
      </w:r>
      <w:bookmarkEnd w:id="36"/>
    </w:p>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投标方应完成招标方指定控制器的闭环仿真。针对各控制器可进行如下测试：</w:t>
      </w:r>
    </w:p>
    <w:p>
      <w:pPr>
        <w:pStyle w:val="34"/>
        <w:spacing w:line="360" w:lineRule="auto"/>
        <w:ind w:left="480"/>
        <w:rPr>
          <w:rFonts w:ascii="Times New Roman" w:hAnsi="Times New Roman" w:cs="宋体"/>
          <w:szCs w:val="24"/>
        </w:rPr>
      </w:pPr>
      <w:r>
        <w:rPr>
          <w:rFonts w:hint="eastAsia" w:ascii="Times New Roman" w:hAnsi="Times New Roman" w:cs="宋体"/>
          <w:szCs w:val="24"/>
        </w:rPr>
        <w:t>1、电气接口测试：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①最大工作电压测试；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②最小工作电压测试；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③输入信号采集测试；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④开关信号采集；</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⑤温度信号采集；</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⑥压力信号采集等；</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⑦输入输出之间的逻辑关系测试。</w:t>
      </w:r>
    </w:p>
    <w:p>
      <w:pPr>
        <w:pStyle w:val="34"/>
        <w:spacing w:line="360" w:lineRule="auto"/>
        <w:ind w:left="480"/>
        <w:rPr>
          <w:rFonts w:ascii="Times New Roman" w:hAnsi="Times New Roman" w:cs="宋体"/>
          <w:szCs w:val="24"/>
        </w:rPr>
      </w:pPr>
      <w:r>
        <w:rPr>
          <w:rFonts w:hint="eastAsia" w:ascii="Times New Roman" w:hAnsi="Times New Roman" w:cs="宋体"/>
          <w:szCs w:val="24"/>
        </w:rPr>
        <w:t>2、通讯测试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①协议一致性测试；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②交互逻辑测试；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③Checksum算法测试；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④LiveCounter测试；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⑤总线故障测试。</w:t>
      </w:r>
    </w:p>
    <w:p>
      <w:pPr>
        <w:pStyle w:val="34"/>
        <w:spacing w:line="360" w:lineRule="auto"/>
        <w:ind w:left="480"/>
        <w:rPr>
          <w:rFonts w:ascii="Times New Roman" w:hAnsi="Times New Roman" w:cs="宋体"/>
          <w:szCs w:val="24"/>
        </w:rPr>
      </w:pPr>
      <w:r>
        <w:rPr>
          <w:rFonts w:hint="eastAsia" w:ascii="Times New Roman" w:hAnsi="Times New Roman" w:cs="宋体"/>
          <w:szCs w:val="24"/>
        </w:rPr>
        <w:t>3、闭环工况下的软件功能逻辑测试</w:t>
      </w:r>
    </w:p>
    <w:p>
      <w:pPr>
        <w:pStyle w:val="34"/>
        <w:spacing w:line="360" w:lineRule="auto"/>
        <w:ind w:left="480"/>
        <w:rPr>
          <w:rFonts w:ascii="Times New Roman" w:hAnsi="Times New Roman" w:cs="宋体"/>
          <w:szCs w:val="24"/>
        </w:rPr>
      </w:pPr>
      <w:r>
        <w:rPr>
          <w:rFonts w:hint="eastAsia" w:ascii="Times New Roman" w:hAnsi="Times New Roman" w:cs="宋体"/>
          <w:szCs w:val="24"/>
        </w:rPr>
        <w:t>4、故障诊断策略测试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①输入信号超限测试；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②输入信号不合理测试；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③输入信号丢失测试；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④输入信号开路故障测试；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⑤输入信号短路故障测试；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⑥输出信号开路故障测试；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⑦输出信号短路故障测试；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⑧总线Bussoff测试；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⑨总线信号发送周期不合理测试；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⑩上述故障组合测试；</w:t>
      </w:r>
    </w:p>
    <w:p>
      <w:pPr>
        <w:pStyle w:val="34"/>
        <w:spacing w:line="360" w:lineRule="auto"/>
        <w:ind w:left="420" w:leftChars="200"/>
        <w:rPr>
          <w:rFonts w:ascii="Times New Roman" w:hAnsi="Times New Roman" w:cs="宋体"/>
          <w:szCs w:val="24"/>
        </w:rPr>
      </w:pPr>
      <w:r>
        <w:rPr>
          <w:rFonts w:hint="eastAsia" w:ascii="Times New Roman" w:hAnsi="Times New Roman" w:cs="宋体"/>
          <w:szCs w:val="24"/>
        </w:rPr>
        <w:t>⑪动态工况过程中的信号故障测试等。</w:t>
      </w:r>
    </w:p>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 HIL硬件系统技术要求</w:t>
      </w:r>
    </w:p>
    <w:p>
      <w:pPr>
        <w:spacing w:line="360" w:lineRule="auto"/>
        <w:outlineLvl w:val="3"/>
        <w:rPr>
          <w:rFonts w:ascii="Times New Roman" w:hAnsi="Times New Roman" w:eastAsia="宋体" w:cs="Times New Roman"/>
          <w:b/>
          <w:bCs/>
          <w:sz w:val="24"/>
          <w:szCs w:val="24"/>
        </w:rPr>
      </w:pPr>
      <w:bookmarkStart w:id="37" w:name="_Hlk92440875"/>
      <w:r>
        <w:rPr>
          <w:rFonts w:hint="eastAsia" w:ascii="Times New Roman" w:hAnsi="Times New Roman" w:eastAsia="宋体" w:cs="Times New Roman"/>
          <w:b/>
          <w:bCs/>
          <w:sz w:val="24"/>
          <w:szCs w:val="24"/>
        </w:rPr>
        <w:t>3.1硬件资源需求</w:t>
      </w:r>
    </w:p>
    <w:p>
      <w:pPr>
        <w:spacing w:line="30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下面表格中提出的所有资源需求均为外部</w:t>
      </w:r>
      <w:bookmarkStart w:id="38" w:name="_Hlk92440952"/>
      <w:r>
        <w:rPr>
          <w:rFonts w:hint="eastAsia" w:ascii="Times New Roman" w:hAnsi="Times New Roman" w:eastAsia="宋体" w:cs="Times New Roman"/>
          <w:sz w:val="24"/>
          <w:szCs w:val="21"/>
        </w:rPr>
        <w:t>可供待测控制器使用的需求</w:t>
      </w:r>
      <w:bookmarkEnd w:id="38"/>
      <w:r>
        <w:rPr>
          <w:rFonts w:hint="eastAsia" w:ascii="Times New Roman" w:hAnsi="Times New Roman" w:eastAsia="宋体" w:cs="Times New Roman"/>
          <w:sz w:val="24"/>
          <w:szCs w:val="21"/>
        </w:rPr>
        <w:t>，HIL系统内部使用不得占用。</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3.1.1 新能源控制器 HIL硬件机柜硬件资源需求</w:t>
      </w:r>
    </w:p>
    <w:p>
      <w:pPr>
        <w:numPr>
          <w:ilvl w:val="2"/>
          <w:numId w:val="0"/>
        </w:numPr>
        <w:tabs>
          <w:tab w:val="left" w:pos="624"/>
        </w:tabs>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1）XEV混动系统（P</w:t>
      </w:r>
      <w:r>
        <w:rPr>
          <w:rFonts w:ascii="Times New Roman" w:hAnsi="Times New Roman" w:eastAsia="宋体" w:cs="Times New Roman"/>
          <w:sz w:val="24"/>
          <w:szCs w:val="21"/>
        </w:rPr>
        <w:t>2+P4</w:t>
      </w:r>
      <w:r>
        <w:rPr>
          <w:rFonts w:hint="eastAsia" w:ascii="Times New Roman" w:hAnsi="Times New Roman" w:eastAsia="宋体" w:cs="Times New Roman"/>
          <w:sz w:val="24"/>
          <w:szCs w:val="21"/>
        </w:rPr>
        <w:t>）台架，资源需求如下</w:t>
      </w:r>
    </w:p>
    <w:bookmarkEnd w:id="37"/>
    <w:tbl>
      <w:tblPr>
        <w:tblStyle w:val="39"/>
        <w:tblW w:w="42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4"/>
        <w:gridCol w:w="3616"/>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资源分类</w:t>
            </w:r>
          </w:p>
        </w:tc>
        <w:tc>
          <w:tcPr>
            <w:tcW w:w="226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HIL资源类型</w:t>
            </w:r>
          </w:p>
        </w:tc>
        <w:tc>
          <w:tcPr>
            <w:tcW w:w="1378"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数量需求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实时系统</w:t>
            </w:r>
          </w:p>
        </w:tc>
        <w:tc>
          <w:tcPr>
            <w:tcW w:w="226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实时仿真机</w:t>
            </w:r>
          </w:p>
        </w:tc>
        <w:tc>
          <w:tcPr>
            <w:tcW w:w="1378" w:type="pct"/>
            <w:shd w:val="clear" w:color="auto" w:fill="FFFFFF"/>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restart"/>
            <w:vAlign w:val="center"/>
          </w:tcPr>
          <w:p>
            <w:pPr>
              <w:spacing w:line="480" w:lineRule="auto"/>
              <w:rPr>
                <w:rFonts w:ascii="Times New Roman" w:hAnsi="Times New Roman" w:eastAsia="宋体" w:cs="Times New Roman"/>
                <w:szCs w:val="21"/>
              </w:rPr>
            </w:pPr>
            <w:r>
              <w:rPr>
                <w:rFonts w:hint="eastAsia" w:ascii="Times New Roman" w:hAnsi="Times New Roman" w:eastAsia="宋体" w:cs="Times New Roman"/>
                <w:szCs w:val="21"/>
              </w:rPr>
              <w:t>通用IO资源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模拟输入通道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模拟输出通道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输入通道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输出通道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电阻输出通道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电流采集</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电感型位置传感器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磁电型转速传感器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霍尔电压型转速传感器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霍尔电流型转速传感器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总线仿真资源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CAN</w:t>
            </w:r>
            <w:r>
              <w:rPr>
                <w:rFonts w:ascii="Times New Roman" w:hAnsi="Times New Roman" w:eastAsia="宋体" w:cs="Times New Roman"/>
                <w:szCs w:val="21"/>
              </w:rPr>
              <w:t>/CANFD</w:t>
            </w:r>
            <w:r>
              <w:rPr>
                <w:rFonts w:hint="eastAsia" w:ascii="Times New Roman" w:hAnsi="Times New Roman" w:eastAsia="宋体" w:cs="Times New Roman"/>
                <w:szCs w:val="21"/>
              </w:rPr>
              <w:t>通讯通道</w:t>
            </w:r>
          </w:p>
        </w:tc>
        <w:tc>
          <w:tcPr>
            <w:tcW w:w="1378" w:type="pct"/>
            <w:vAlign w:val="center"/>
          </w:tcPr>
          <w:p>
            <w:pPr>
              <w:spacing w:line="300"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LIN通道</w:t>
            </w:r>
          </w:p>
        </w:tc>
        <w:tc>
          <w:tcPr>
            <w:tcW w:w="1378" w:type="pct"/>
            <w:vAlign w:val="center"/>
          </w:tcPr>
          <w:p>
            <w:pPr>
              <w:spacing w:line="300"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车载以太网通道</w:t>
            </w:r>
          </w:p>
        </w:tc>
        <w:tc>
          <w:tcPr>
            <w:tcW w:w="1378" w:type="pct"/>
            <w:vAlign w:val="center"/>
          </w:tcPr>
          <w:p>
            <w:pPr>
              <w:spacing w:line="300" w:lineRule="auto"/>
              <w:jc w:val="center"/>
              <w:rPr>
                <w:rFonts w:hint="eastAsia"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供电及故障注入</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低压程控电源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ECU供电管理通道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故障注入通道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软件</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试验管理软件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自动化测试软件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IO模型生成工具</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模型</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驾驶员模型，发动机模型，AMT变速箱模型，P2电机模型，P4电机模型，离合器模型，电驱桥换挡变速箱模型，差速器模型，主减模型，电池模型，热管理模型、多合一模型、总线接口模型、虚拟控制器模型</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其他</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BOB</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上位机及显示器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服务</w:t>
            </w: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测试设备硬件集成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ascii="Times New Roman" w:hAnsi="Times New Roman" w:eastAsia="宋体" w:cs="Times New Roman"/>
                <w:szCs w:val="21"/>
              </w:rPr>
              <w:t>IO模型</w:t>
            </w:r>
            <w:r>
              <w:rPr>
                <w:rFonts w:hint="eastAsia" w:ascii="Times New Roman" w:hAnsi="Times New Roman" w:eastAsia="宋体" w:cs="Times New Roman"/>
                <w:szCs w:val="21"/>
              </w:rPr>
              <w:t>搭建</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控制器开闭环测试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设备现场安装、调试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技术培训</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bl>
    <w:p>
      <w:pPr>
        <w:rPr>
          <w:rFonts w:ascii="Times New Roman" w:hAnsi="Times New Roman"/>
        </w:rPr>
      </w:pPr>
    </w:p>
    <w:p>
      <w:pPr>
        <w:numPr>
          <w:ilvl w:val="0"/>
          <w:numId w:val="14"/>
        </w:numPr>
        <w:tabs>
          <w:tab w:val="left" w:pos="624"/>
        </w:tabs>
        <w:spacing w:line="360" w:lineRule="auto"/>
        <w:rPr>
          <w:rFonts w:hint="eastAsia" w:ascii="Times New Roman" w:hAnsi="Times New Roman" w:eastAsia="宋体" w:cs="Times New Roman"/>
          <w:color w:val="auto"/>
          <w:sz w:val="24"/>
          <w:szCs w:val="21"/>
        </w:rPr>
      </w:pPr>
      <w:r>
        <w:rPr>
          <w:rFonts w:hint="eastAsia" w:ascii="Times New Roman" w:hAnsi="Times New Roman" w:eastAsia="宋体" w:cs="Times New Roman"/>
          <w:color w:val="auto"/>
          <w:sz w:val="24"/>
          <w:szCs w:val="21"/>
        </w:rPr>
        <w:t>P2混动系统台架，资源需求如下：</w:t>
      </w:r>
    </w:p>
    <w:tbl>
      <w:tblPr>
        <w:tblStyle w:val="39"/>
        <w:tblW w:w="42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3616"/>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资源分类</w:t>
            </w:r>
          </w:p>
        </w:tc>
        <w:tc>
          <w:tcPr>
            <w:tcW w:w="226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HIL资源类型</w:t>
            </w:r>
          </w:p>
        </w:tc>
        <w:tc>
          <w:tcPr>
            <w:tcW w:w="1378"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数量需求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实时系统</w:t>
            </w:r>
          </w:p>
        </w:tc>
        <w:tc>
          <w:tcPr>
            <w:tcW w:w="226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实时仿真机</w:t>
            </w:r>
          </w:p>
        </w:tc>
        <w:tc>
          <w:tcPr>
            <w:tcW w:w="1378" w:type="pct"/>
            <w:shd w:val="clear" w:color="auto" w:fill="FFFFFF"/>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480" w:lineRule="auto"/>
              <w:rPr>
                <w:rFonts w:ascii="Times New Roman" w:hAnsi="Times New Roman" w:eastAsia="宋体" w:cs="Times New Roman"/>
                <w:szCs w:val="21"/>
              </w:rPr>
            </w:pPr>
            <w:r>
              <w:rPr>
                <w:rFonts w:hint="eastAsia" w:ascii="Times New Roman" w:hAnsi="Times New Roman" w:eastAsia="宋体" w:cs="Times New Roman"/>
                <w:szCs w:val="21"/>
              </w:rPr>
              <w:t>通用IO资源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模拟输入通道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模拟输出通道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输入通道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输出通道</w:t>
            </w:r>
          </w:p>
        </w:tc>
        <w:tc>
          <w:tcPr>
            <w:tcW w:w="1378" w:type="pct"/>
            <w:vAlign w:val="center"/>
          </w:tcPr>
          <w:p>
            <w:pPr>
              <w:spacing w:line="30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电阻输出通道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电流采集</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电感型位置传感器</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磁电型转速传感器</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霍尔电压型转速传感器</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霍尔电流型转速传感器</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总线仿真资源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CAN</w:t>
            </w:r>
            <w:r>
              <w:rPr>
                <w:rFonts w:ascii="Times New Roman" w:hAnsi="Times New Roman" w:eastAsia="宋体" w:cs="Times New Roman"/>
                <w:szCs w:val="21"/>
              </w:rPr>
              <w:t>/CANFD</w:t>
            </w:r>
            <w:r>
              <w:rPr>
                <w:rFonts w:hint="eastAsia" w:ascii="Times New Roman" w:hAnsi="Times New Roman" w:eastAsia="宋体" w:cs="Times New Roman"/>
                <w:szCs w:val="21"/>
              </w:rPr>
              <w:t>通讯通道</w:t>
            </w:r>
          </w:p>
        </w:tc>
        <w:tc>
          <w:tcPr>
            <w:tcW w:w="1378" w:type="pct"/>
            <w:vAlign w:val="center"/>
          </w:tcPr>
          <w:p>
            <w:pPr>
              <w:spacing w:line="30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LIN通道</w:t>
            </w:r>
          </w:p>
        </w:tc>
        <w:tc>
          <w:tcPr>
            <w:tcW w:w="1378" w:type="pct"/>
            <w:vAlign w:val="center"/>
          </w:tcPr>
          <w:p>
            <w:pPr>
              <w:spacing w:line="30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车载以太网通道</w:t>
            </w:r>
          </w:p>
        </w:tc>
        <w:tc>
          <w:tcPr>
            <w:tcW w:w="1378" w:type="pct"/>
            <w:vAlign w:val="center"/>
          </w:tcPr>
          <w:p>
            <w:pPr>
              <w:spacing w:line="30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供电及故障注入</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低压程控电源</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ECU供电管理通道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故障注入通道</w:t>
            </w:r>
          </w:p>
        </w:tc>
        <w:tc>
          <w:tcPr>
            <w:tcW w:w="1378" w:type="pct"/>
            <w:vAlign w:val="center"/>
          </w:tcPr>
          <w:p>
            <w:pPr>
              <w:spacing w:line="30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软件</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试验管理软件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自动化测试软件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IO模型生成工具</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模型</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驾驶员模型，发动机模型，AMT变速箱模型，P2电机模型，离合器模型，齿轮箱模型，差速器模型，主减模型，电池模型，热管理模型、多合一模型、总线接口模型、虚拟控制器模型</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其他</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BOB</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上位机及显示器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服务</w:t>
            </w: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测试设备硬件集成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ascii="Times New Roman" w:hAnsi="Times New Roman" w:eastAsia="宋体" w:cs="Times New Roman"/>
                <w:szCs w:val="21"/>
              </w:rPr>
              <w:t>IO模型</w:t>
            </w:r>
            <w:r>
              <w:rPr>
                <w:rFonts w:hint="eastAsia" w:ascii="Times New Roman" w:hAnsi="Times New Roman" w:eastAsia="宋体" w:cs="Times New Roman"/>
                <w:szCs w:val="21"/>
              </w:rPr>
              <w:t>搭建</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控制器开闭环测试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设备现场安装、调试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技术培训</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bl>
    <w:p>
      <w:pPr>
        <w:numPr>
          <w:ilvl w:val="0"/>
          <w:numId w:val="14"/>
        </w:numPr>
        <w:tabs>
          <w:tab w:val="left" w:pos="624"/>
        </w:tabs>
        <w:spacing w:line="360" w:lineRule="auto"/>
        <w:ind w:left="0" w:leftChars="0" w:firstLine="0" w:firstLineChars="0"/>
        <w:rPr>
          <w:rFonts w:hint="eastAsia" w:ascii="Times New Roman" w:hAnsi="Times New Roman" w:eastAsia="宋体" w:cs="Times New Roman"/>
          <w:color w:val="auto"/>
          <w:sz w:val="24"/>
          <w:szCs w:val="21"/>
        </w:rPr>
      </w:pPr>
      <w:r>
        <w:rPr>
          <w:rFonts w:hint="eastAsia" w:ascii="Times New Roman" w:hAnsi="Times New Roman" w:eastAsia="宋体" w:cs="Times New Roman"/>
          <w:color w:val="auto"/>
          <w:sz w:val="24"/>
          <w:szCs w:val="21"/>
        </w:rPr>
        <w:t>增程混动系统台架，资源需求如下</w:t>
      </w:r>
    </w:p>
    <w:tbl>
      <w:tblPr>
        <w:tblStyle w:val="39"/>
        <w:tblW w:w="42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3616"/>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资源分类</w:t>
            </w:r>
          </w:p>
        </w:tc>
        <w:tc>
          <w:tcPr>
            <w:tcW w:w="226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HIL资源类型</w:t>
            </w:r>
          </w:p>
        </w:tc>
        <w:tc>
          <w:tcPr>
            <w:tcW w:w="1378"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数量需求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实时系统</w:t>
            </w:r>
          </w:p>
        </w:tc>
        <w:tc>
          <w:tcPr>
            <w:tcW w:w="226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实时仿真机</w:t>
            </w:r>
          </w:p>
        </w:tc>
        <w:tc>
          <w:tcPr>
            <w:tcW w:w="1378" w:type="pct"/>
            <w:shd w:val="clear" w:color="auto" w:fill="FFFFFF"/>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480" w:lineRule="auto"/>
              <w:rPr>
                <w:rFonts w:ascii="Times New Roman" w:hAnsi="Times New Roman" w:eastAsia="宋体" w:cs="Times New Roman"/>
                <w:szCs w:val="21"/>
              </w:rPr>
            </w:pPr>
            <w:r>
              <w:rPr>
                <w:rFonts w:hint="eastAsia" w:ascii="Times New Roman" w:hAnsi="Times New Roman" w:eastAsia="宋体" w:cs="Times New Roman"/>
                <w:szCs w:val="21"/>
              </w:rPr>
              <w:t>通用IO资源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模拟输入通道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模拟输出通道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输入通道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输出通道</w:t>
            </w:r>
          </w:p>
        </w:tc>
        <w:tc>
          <w:tcPr>
            <w:tcW w:w="1378" w:type="pct"/>
            <w:vAlign w:val="center"/>
          </w:tcPr>
          <w:p>
            <w:pPr>
              <w:spacing w:line="30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电阻输出通道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电流采集</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电感型位置传感器</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磁电型转速传感器</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霍尔电压型转速传感器</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霍尔电流型转速传感器</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ascii="Times New Roman" w:hAnsi="Times New Roman" w:eastAsia="宋体"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总线仿真资源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CAN</w:t>
            </w:r>
            <w:r>
              <w:rPr>
                <w:rFonts w:ascii="Times New Roman" w:hAnsi="Times New Roman" w:eastAsia="宋体" w:cs="Times New Roman"/>
                <w:szCs w:val="21"/>
              </w:rPr>
              <w:t>/CANFD</w:t>
            </w:r>
            <w:r>
              <w:rPr>
                <w:rFonts w:hint="eastAsia" w:ascii="Times New Roman" w:hAnsi="Times New Roman" w:eastAsia="宋体" w:cs="Times New Roman"/>
                <w:szCs w:val="21"/>
              </w:rPr>
              <w:t>通讯通道</w:t>
            </w:r>
          </w:p>
        </w:tc>
        <w:tc>
          <w:tcPr>
            <w:tcW w:w="1378" w:type="pct"/>
            <w:vAlign w:val="center"/>
          </w:tcPr>
          <w:p>
            <w:pPr>
              <w:spacing w:line="30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LIN通道</w:t>
            </w:r>
          </w:p>
        </w:tc>
        <w:tc>
          <w:tcPr>
            <w:tcW w:w="1378" w:type="pct"/>
            <w:vAlign w:val="center"/>
          </w:tcPr>
          <w:p>
            <w:pPr>
              <w:spacing w:line="30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故障注入通道</w:t>
            </w:r>
          </w:p>
        </w:tc>
        <w:tc>
          <w:tcPr>
            <w:tcW w:w="1378" w:type="pct"/>
            <w:vAlign w:val="center"/>
          </w:tcPr>
          <w:p>
            <w:pPr>
              <w:spacing w:line="30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供电及故障注入</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低压程控电源</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ECU供电管理通道</w:t>
            </w:r>
          </w:p>
        </w:tc>
        <w:tc>
          <w:tcPr>
            <w:tcW w:w="1378" w:type="pct"/>
            <w:vAlign w:val="center"/>
          </w:tcPr>
          <w:p>
            <w:pPr>
              <w:spacing w:line="30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故障注入通道</w:t>
            </w:r>
          </w:p>
        </w:tc>
        <w:tc>
          <w:tcPr>
            <w:tcW w:w="1378" w:type="pct"/>
            <w:vAlign w:val="center"/>
          </w:tcPr>
          <w:p>
            <w:pPr>
              <w:spacing w:line="30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软件</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试验管理软件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自动化测试软件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IO模型生成工具</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模型</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驾驶员模型，发动机模型，增程器模型，中央驱动电机模型、P4电机模型，离合器模型，中央驱动AMT变速箱模型，电驱桥换挡变速箱模型，差速器模型，主减模型，电池模型，多合一模型、总线接口模型、虚拟控制器模型</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其他</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BOB</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上位机及显示器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服务</w:t>
            </w: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测试设备硬件集成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ascii="Times New Roman" w:hAnsi="Times New Roman" w:eastAsia="宋体" w:cs="Times New Roman"/>
                <w:szCs w:val="21"/>
              </w:rPr>
              <w:t>IO模型</w:t>
            </w:r>
            <w:r>
              <w:rPr>
                <w:rFonts w:hint="eastAsia" w:ascii="Times New Roman" w:hAnsi="Times New Roman" w:eastAsia="宋体" w:cs="Times New Roman"/>
                <w:szCs w:val="21"/>
              </w:rPr>
              <w:t>搭建</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控制器开闭环测试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设备现场安装、调试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技术培训</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bl>
    <w:p>
      <w:pPr>
        <w:numPr>
          <w:ilvl w:val="0"/>
          <w:numId w:val="14"/>
        </w:numPr>
        <w:tabs>
          <w:tab w:val="left" w:pos="624"/>
        </w:tabs>
        <w:spacing w:line="360" w:lineRule="auto"/>
        <w:ind w:left="0" w:leftChars="0" w:firstLine="0" w:firstLineChars="0"/>
        <w:rPr>
          <w:rFonts w:hint="eastAsia" w:ascii="Times New Roman" w:hAnsi="Times New Roman" w:eastAsia="宋体" w:cs="Times New Roman"/>
          <w:sz w:val="24"/>
          <w:szCs w:val="21"/>
        </w:rPr>
      </w:pPr>
      <w:r>
        <w:rPr>
          <w:rFonts w:hint="eastAsia" w:ascii="Times New Roman" w:hAnsi="Times New Roman" w:eastAsia="宋体" w:cs="Times New Roman"/>
          <w:sz w:val="24"/>
          <w:szCs w:val="21"/>
        </w:rPr>
        <w:t>EBS台架，资源需求如下</w:t>
      </w:r>
    </w:p>
    <w:tbl>
      <w:tblPr>
        <w:tblStyle w:val="39"/>
        <w:tblW w:w="42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3616"/>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资源分类</w:t>
            </w:r>
          </w:p>
        </w:tc>
        <w:tc>
          <w:tcPr>
            <w:tcW w:w="226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HIL资源类型</w:t>
            </w:r>
          </w:p>
        </w:tc>
        <w:tc>
          <w:tcPr>
            <w:tcW w:w="1378"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数量需求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实时系统</w:t>
            </w:r>
          </w:p>
        </w:tc>
        <w:tc>
          <w:tcPr>
            <w:tcW w:w="226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实时仿真机</w:t>
            </w:r>
          </w:p>
        </w:tc>
        <w:tc>
          <w:tcPr>
            <w:tcW w:w="1378" w:type="pct"/>
            <w:shd w:val="clear" w:color="auto" w:fill="FFFFFF"/>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480" w:lineRule="auto"/>
              <w:rPr>
                <w:rFonts w:ascii="Times New Roman" w:hAnsi="Times New Roman" w:eastAsia="宋体" w:cs="Times New Roman"/>
                <w:szCs w:val="21"/>
              </w:rPr>
            </w:pPr>
            <w:r>
              <w:rPr>
                <w:rFonts w:hint="eastAsia" w:ascii="Times New Roman" w:hAnsi="Times New Roman" w:eastAsia="宋体" w:cs="Times New Roman"/>
                <w:szCs w:val="21"/>
              </w:rPr>
              <w:t>通用IO资源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模拟输入通道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模拟输出通道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输入通道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输出通道</w:t>
            </w:r>
          </w:p>
        </w:tc>
        <w:tc>
          <w:tcPr>
            <w:tcW w:w="1378" w:type="pct"/>
            <w:vAlign w:val="center"/>
          </w:tcPr>
          <w:p>
            <w:pPr>
              <w:spacing w:line="30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电阻输出通道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转速信号仿真通道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总线仿真资源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CAN</w:t>
            </w:r>
            <w:r>
              <w:rPr>
                <w:rFonts w:ascii="Times New Roman" w:hAnsi="Times New Roman" w:eastAsia="宋体" w:cs="Times New Roman"/>
                <w:szCs w:val="21"/>
              </w:rPr>
              <w:t>/CANFD</w:t>
            </w:r>
            <w:r>
              <w:rPr>
                <w:rFonts w:hint="eastAsia" w:ascii="Times New Roman" w:hAnsi="Times New Roman" w:eastAsia="宋体" w:cs="Times New Roman"/>
                <w:szCs w:val="21"/>
              </w:rPr>
              <w:t>通讯通道</w:t>
            </w:r>
          </w:p>
        </w:tc>
        <w:tc>
          <w:tcPr>
            <w:tcW w:w="1378" w:type="pct"/>
            <w:vAlign w:val="center"/>
          </w:tcPr>
          <w:p>
            <w:pPr>
              <w:spacing w:line="300"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LIN通道</w:t>
            </w:r>
          </w:p>
        </w:tc>
        <w:tc>
          <w:tcPr>
            <w:tcW w:w="1378" w:type="pct"/>
            <w:vAlign w:val="center"/>
          </w:tcPr>
          <w:p>
            <w:pPr>
              <w:spacing w:line="300"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车载以太网</w:t>
            </w:r>
          </w:p>
        </w:tc>
        <w:tc>
          <w:tcPr>
            <w:tcW w:w="1378" w:type="pct"/>
            <w:vAlign w:val="center"/>
          </w:tcPr>
          <w:p>
            <w:pPr>
              <w:spacing w:line="300" w:lineRule="auto"/>
              <w:jc w:val="center"/>
              <w:rPr>
                <w:rFonts w:hint="eastAsia"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供电及故障注入</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低压程控电源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ECU供电管理通道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故障注入通道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电流采集通道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软件</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试验管理软件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自动化测试软件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IO模型生成工具</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模型</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驾驶员模型，发动机模型，电机模型，离合器模型，齿轮箱模型，差速器模型，主减模型，电池模型，制动系统模型、总线接口模型、虚拟控制器模型，可配置燃油车型和混动车型（P2电机、P4电机）</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其他</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BOB</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上位机及显示器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服务</w:t>
            </w: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测试设备硬件集成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ascii="Times New Roman" w:hAnsi="Times New Roman" w:eastAsia="宋体" w:cs="Times New Roman"/>
                <w:szCs w:val="21"/>
              </w:rPr>
              <w:t>IO模型</w:t>
            </w:r>
            <w:r>
              <w:rPr>
                <w:rFonts w:hint="eastAsia" w:ascii="Times New Roman" w:hAnsi="Times New Roman" w:eastAsia="宋体" w:cs="Times New Roman"/>
                <w:szCs w:val="21"/>
              </w:rPr>
              <w:t>搭建</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控制器开闭环测试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设备现场安装、调试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技术培训</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bl>
    <w:p>
      <w:pPr>
        <w:numPr>
          <w:ilvl w:val="0"/>
          <w:numId w:val="14"/>
        </w:numPr>
        <w:tabs>
          <w:tab w:val="left" w:pos="624"/>
        </w:tabs>
        <w:spacing w:line="360" w:lineRule="auto"/>
        <w:ind w:left="0" w:leftChars="0" w:firstLine="0" w:firstLineChars="0"/>
        <w:rPr>
          <w:rFonts w:hint="eastAsia" w:ascii="Times New Roman" w:hAnsi="Times New Roman" w:eastAsia="宋体" w:cs="Times New Roman"/>
          <w:sz w:val="24"/>
          <w:szCs w:val="21"/>
        </w:rPr>
      </w:pPr>
      <w:r>
        <w:rPr>
          <w:rFonts w:hint="eastAsia" w:ascii="Times New Roman" w:hAnsi="Times New Roman" w:eastAsia="宋体" w:cs="Times New Roman"/>
          <w:sz w:val="24"/>
          <w:szCs w:val="21"/>
        </w:rPr>
        <w:t>ECAS台架，资源需求如下</w:t>
      </w:r>
    </w:p>
    <w:tbl>
      <w:tblPr>
        <w:tblStyle w:val="39"/>
        <w:tblW w:w="42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3616"/>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资源分类</w:t>
            </w:r>
          </w:p>
        </w:tc>
        <w:tc>
          <w:tcPr>
            <w:tcW w:w="226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HIL资源类型</w:t>
            </w:r>
          </w:p>
        </w:tc>
        <w:tc>
          <w:tcPr>
            <w:tcW w:w="1378"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数量需求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实时系统</w:t>
            </w:r>
          </w:p>
        </w:tc>
        <w:tc>
          <w:tcPr>
            <w:tcW w:w="226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实时仿真机</w:t>
            </w:r>
          </w:p>
        </w:tc>
        <w:tc>
          <w:tcPr>
            <w:tcW w:w="1378" w:type="pct"/>
            <w:shd w:val="clear" w:color="auto" w:fill="FFFFFF"/>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480" w:lineRule="auto"/>
              <w:rPr>
                <w:rFonts w:ascii="Times New Roman" w:hAnsi="Times New Roman" w:eastAsia="宋体" w:cs="Times New Roman"/>
                <w:szCs w:val="21"/>
              </w:rPr>
            </w:pPr>
            <w:r>
              <w:rPr>
                <w:rFonts w:hint="eastAsia" w:ascii="Times New Roman" w:hAnsi="Times New Roman" w:eastAsia="宋体" w:cs="Times New Roman"/>
                <w:szCs w:val="21"/>
              </w:rPr>
              <w:t>通用IO资源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模拟输入通道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模拟输出通道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bookmarkStart w:id="39" w:name="_Hlk195878468"/>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输入通道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输出通道</w:t>
            </w:r>
          </w:p>
        </w:tc>
        <w:tc>
          <w:tcPr>
            <w:tcW w:w="1378" w:type="pct"/>
            <w:vAlign w:val="center"/>
          </w:tcPr>
          <w:p>
            <w:pPr>
              <w:spacing w:line="30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20</w:t>
            </w:r>
          </w:p>
        </w:tc>
      </w:tr>
      <w:bookmarkEnd w:id="3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电阻输出通道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转速信号仿真通道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总线仿真资源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CAN</w:t>
            </w:r>
            <w:r>
              <w:rPr>
                <w:rFonts w:ascii="Times New Roman" w:hAnsi="Times New Roman" w:eastAsia="宋体" w:cs="Times New Roman"/>
                <w:szCs w:val="21"/>
              </w:rPr>
              <w:t>/CANFD</w:t>
            </w:r>
            <w:r>
              <w:rPr>
                <w:rFonts w:hint="eastAsia" w:ascii="Times New Roman" w:hAnsi="Times New Roman" w:eastAsia="宋体" w:cs="Times New Roman"/>
                <w:szCs w:val="21"/>
              </w:rPr>
              <w:t>通讯通道</w:t>
            </w:r>
          </w:p>
        </w:tc>
        <w:tc>
          <w:tcPr>
            <w:tcW w:w="1378" w:type="pct"/>
            <w:vAlign w:val="center"/>
          </w:tcPr>
          <w:p>
            <w:pPr>
              <w:spacing w:line="30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LIN通道</w:t>
            </w:r>
          </w:p>
        </w:tc>
        <w:tc>
          <w:tcPr>
            <w:tcW w:w="1378" w:type="pct"/>
            <w:vAlign w:val="center"/>
          </w:tcPr>
          <w:p>
            <w:pPr>
              <w:spacing w:line="30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车载以太网</w:t>
            </w:r>
          </w:p>
        </w:tc>
        <w:tc>
          <w:tcPr>
            <w:tcW w:w="1378" w:type="pct"/>
            <w:vAlign w:val="center"/>
          </w:tcPr>
          <w:p>
            <w:pPr>
              <w:spacing w:line="30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供电及故障注入</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低压程控电源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ECU供电管理通道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故障注入通道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电流采集通道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软件</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试验管理软件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自动化测试软件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IO模型生成工具</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模型</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驾驶员模型，发动机模型，电机模型，离合器模型，齿轮箱模型，差速器模型，主减模型，电池模型、悬架模型、总线接口模型、虚拟控制器模型</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其他</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BOB</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上位机及显示器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服务</w:t>
            </w: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测试设备硬件集成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ascii="Times New Roman" w:hAnsi="Times New Roman" w:eastAsia="宋体" w:cs="Times New Roman"/>
                <w:szCs w:val="21"/>
              </w:rPr>
              <w:t>IO模型</w:t>
            </w:r>
            <w:r>
              <w:rPr>
                <w:rFonts w:hint="eastAsia" w:ascii="Times New Roman" w:hAnsi="Times New Roman" w:eastAsia="宋体" w:cs="Times New Roman"/>
                <w:szCs w:val="21"/>
              </w:rPr>
              <w:t>搭建</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控制器开闭环测试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设备现场安装、调试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技术培训</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bl>
    <w:p>
      <w:pPr>
        <w:numPr>
          <w:ilvl w:val="0"/>
          <w:numId w:val="14"/>
        </w:numPr>
        <w:tabs>
          <w:tab w:val="left" w:pos="624"/>
        </w:tabs>
        <w:spacing w:line="360" w:lineRule="auto"/>
        <w:ind w:left="0" w:leftChars="0" w:firstLine="0" w:firstLineChars="0"/>
        <w:rPr>
          <w:rFonts w:hint="eastAsia" w:ascii="Times New Roman" w:hAnsi="Times New Roman" w:eastAsia="宋体" w:cs="Times New Roman"/>
          <w:sz w:val="24"/>
          <w:szCs w:val="21"/>
        </w:rPr>
      </w:pPr>
      <w:r>
        <w:rPr>
          <w:rFonts w:hint="eastAsia" w:ascii="Times New Roman" w:hAnsi="Times New Roman" w:eastAsia="宋体" w:cs="Times New Roman"/>
          <w:sz w:val="24"/>
          <w:szCs w:val="21"/>
        </w:rPr>
        <w:t>EHPS台架，资源需求如下</w:t>
      </w:r>
    </w:p>
    <w:tbl>
      <w:tblPr>
        <w:tblStyle w:val="39"/>
        <w:tblW w:w="42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3616"/>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资源分类</w:t>
            </w:r>
          </w:p>
        </w:tc>
        <w:tc>
          <w:tcPr>
            <w:tcW w:w="2265"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HIL资源类型</w:t>
            </w:r>
          </w:p>
        </w:tc>
        <w:tc>
          <w:tcPr>
            <w:tcW w:w="1378" w:type="pct"/>
            <w:shd w:val="clear" w:color="auto" w:fill="C5E0B3"/>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数量需求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实时系统</w:t>
            </w:r>
          </w:p>
        </w:tc>
        <w:tc>
          <w:tcPr>
            <w:tcW w:w="2265" w:type="pct"/>
            <w:shd w:val="clear" w:color="auto" w:fill="FFFFFF"/>
            <w:vAlign w:val="center"/>
          </w:tcPr>
          <w:p>
            <w:pPr>
              <w:spacing w:line="300" w:lineRule="auto"/>
              <w:jc w:val="left"/>
              <w:rPr>
                <w:rFonts w:ascii="Times New Roman" w:hAnsi="Times New Roman" w:eastAsia="宋体" w:cs="Times New Roman"/>
                <w:szCs w:val="21"/>
              </w:rPr>
            </w:pPr>
            <w:r>
              <w:rPr>
                <w:rFonts w:hint="eastAsia" w:ascii="Times New Roman" w:hAnsi="Times New Roman" w:eastAsia="宋体" w:cs="Times New Roman"/>
                <w:szCs w:val="21"/>
              </w:rPr>
              <w:t>实时仿真机</w:t>
            </w:r>
          </w:p>
        </w:tc>
        <w:tc>
          <w:tcPr>
            <w:tcW w:w="1378" w:type="pct"/>
            <w:shd w:val="clear" w:color="auto" w:fill="FFFFFF"/>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480" w:lineRule="auto"/>
              <w:rPr>
                <w:rFonts w:ascii="Times New Roman" w:hAnsi="Times New Roman" w:eastAsia="宋体" w:cs="Times New Roman"/>
                <w:szCs w:val="21"/>
              </w:rPr>
            </w:pPr>
            <w:r>
              <w:rPr>
                <w:rFonts w:hint="eastAsia" w:ascii="Times New Roman" w:hAnsi="Times New Roman" w:eastAsia="宋体" w:cs="Times New Roman"/>
                <w:szCs w:val="21"/>
              </w:rPr>
              <w:t>通用IO资源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模拟输入通道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模拟输出通道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输入通道</w:t>
            </w:r>
          </w:p>
        </w:tc>
        <w:tc>
          <w:tcPr>
            <w:tcW w:w="1378" w:type="pct"/>
            <w:vAlign w:val="center"/>
          </w:tcPr>
          <w:p>
            <w:pPr>
              <w:spacing w:line="30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数字/</w:t>
            </w:r>
            <w:r>
              <w:rPr>
                <w:rFonts w:ascii="Times New Roman" w:hAnsi="Times New Roman" w:eastAsia="宋体" w:cs="Times New Roman"/>
                <w:szCs w:val="21"/>
              </w:rPr>
              <w:t>PWM</w:t>
            </w:r>
            <w:r>
              <w:rPr>
                <w:rFonts w:hint="eastAsia" w:ascii="Times New Roman" w:hAnsi="Times New Roman" w:eastAsia="宋体" w:cs="Times New Roman"/>
                <w:szCs w:val="21"/>
              </w:rPr>
              <w:t>输出通道</w:t>
            </w:r>
          </w:p>
        </w:tc>
        <w:tc>
          <w:tcPr>
            <w:tcW w:w="1378" w:type="pct"/>
            <w:vAlign w:val="center"/>
          </w:tcPr>
          <w:p>
            <w:pPr>
              <w:spacing w:line="30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电阻输出通道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总线仿真资源</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CAN</w:t>
            </w:r>
            <w:r>
              <w:rPr>
                <w:rFonts w:ascii="Times New Roman" w:hAnsi="Times New Roman" w:eastAsia="宋体" w:cs="Times New Roman"/>
                <w:szCs w:val="21"/>
              </w:rPr>
              <w:t>/CANFD</w:t>
            </w:r>
            <w:r>
              <w:rPr>
                <w:rFonts w:hint="eastAsia" w:ascii="Times New Roman" w:hAnsi="Times New Roman" w:eastAsia="宋体" w:cs="Times New Roman"/>
                <w:szCs w:val="21"/>
              </w:rPr>
              <w:t>通讯通道</w:t>
            </w:r>
          </w:p>
        </w:tc>
        <w:tc>
          <w:tcPr>
            <w:tcW w:w="1378" w:type="pct"/>
            <w:vAlign w:val="center"/>
          </w:tcPr>
          <w:p>
            <w:pPr>
              <w:spacing w:line="300"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LIN通道</w:t>
            </w:r>
          </w:p>
        </w:tc>
        <w:tc>
          <w:tcPr>
            <w:tcW w:w="1378" w:type="pct"/>
            <w:vAlign w:val="center"/>
          </w:tcPr>
          <w:p>
            <w:pPr>
              <w:spacing w:line="30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车载以太网</w:t>
            </w:r>
          </w:p>
        </w:tc>
        <w:tc>
          <w:tcPr>
            <w:tcW w:w="1378" w:type="pct"/>
            <w:vAlign w:val="center"/>
          </w:tcPr>
          <w:p>
            <w:pPr>
              <w:spacing w:line="30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供电及故障注入</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低压程控电源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ECU供电管理通道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故障注入通道</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负载台架</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EPS电机负载台架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软件</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试验管理软件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自动化测试软件</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IO模型生成工具</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模型</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驾驶员模型，发动机模型，电机模型，离合器模型，齿轮箱模型，差速器模型，主减模型，电池模型、液压转向系统模型、总线接口模型、虚拟控制器模型</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其他</w:t>
            </w: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BOB</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上位机及显示器</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restart"/>
            <w:vAlign w:val="center"/>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服务</w:t>
            </w: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测试设备硬件集成</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ascii="Times New Roman" w:hAnsi="Times New Roman" w:eastAsia="宋体" w:cs="Times New Roman"/>
                <w:szCs w:val="21"/>
              </w:rPr>
              <w:t>IO模型</w:t>
            </w:r>
            <w:r>
              <w:rPr>
                <w:rFonts w:hint="eastAsia" w:ascii="Times New Roman" w:hAnsi="Times New Roman" w:eastAsia="宋体" w:cs="Times New Roman"/>
                <w:szCs w:val="21"/>
              </w:rPr>
              <w:t>搭建</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控制器开闭环测试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设备现场安装、调试</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pct"/>
            <w:vMerge w:val="continue"/>
            <w:vAlign w:val="center"/>
          </w:tcPr>
          <w:p>
            <w:pPr>
              <w:spacing w:line="300" w:lineRule="auto"/>
              <w:rPr>
                <w:rFonts w:ascii="Times New Roman" w:hAnsi="Times New Roman" w:eastAsia="宋体" w:cs="Times New Roman"/>
                <w:szCs w:val="21"/>
              </w:rPr>
            </w:pPr>
          </w:p>
        </w:tc>
        <w:tc>
          <w:tcPr>
            <w:tcW w:w="2265" w:type="pct"/>
          </w:tcPr>
          <w:p>
            <w:pPr>
              <w:spacing w:line="300" w:lineRule="auto"/>
              <w:rPr>
                <w:rFonts w:ascii="Times New Roman" w:hAnsi="Times New Roman" w:eastAsia="宋体" w:cs="Times New Roman"/>
                <w:szCs w:val="21"/>
              </w:rPr>
            </w:pPr>
            <w:r>
              <w:rPr>
                <w:rFonts w:hint="eastAsia" w:ascii="Times New Roman" w:hAnsi="Times New Roman" w:eastAsia="宋体" w:cs="Times New Roman"/>
                <w:szCs w:val="21"/>
              </w:rPr>
              <w:t>技术培训</w:t>
            </w:r>
          </w:p>
        </w:tc>
        <w:tc>
          <w:tcPr>
            <w:tcW w:w="1378" w:type="pct"/>
            <w:vAlign w:val="center"/>
          </w:tcPr>
          <w:p>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bl>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3.2 实时仿真机要求</w:t>
      </w:r>
    </w:p>
    <w:p>
      <w:pPr>
        <w:numPr>
          <w:ilvl w:val="0"/>
          <w:numId w:val="1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运行实时64位实时LINUX操作系统；</w:t>
      </w:r>
    </w:p>
    <w:p>
      <w:pPr>
        <w:numPr>
          <w:ilvl w:val="0"/>
          <w:numId w:val="1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CPU核数≥</w:t>
      </w:r>
      <w:r>
        <w:rPr>
          <w:rFonts w:hint="eastAsia" w:ascii="Times New Roman" w:hAnsi="Times New Roman" w:eastAsia="宋体" w:cs="Times New Roman"/>
          <w:sz w:val="24"/>
          <w:szCs w:val="21"/>
          <w:lang w:val="en-US" w:eastAsia="zh-CN"/>
        </w:rPr>
        <w:t>4</w:t>
      </w:r>
      <w:r>
        <w:rPr>
          <w:rFonts w:hint="eastAsia" w:ascii="Times New Roman" w:hAnsi="Times New Roman" w:eastAsia="宋体" w:cs="Times New Roman"/>
          <w:sz w:val="24"/>
          <w:szCs w:val="21"/>
        </w:rPr>
        <w:t>，每核最高主频≥</w:t>
      </w:r>
      <w:r>
        <w:rPr>
          <w:rFonts w:hint="eastAsia" w:ascii="Times New Roman" w:hAnsi="Times New Roman" w:eastAsia="宋体" w:cs="Times New Roman"/>
          <w:sz w:val="24"/>
          <w:szCs w:val="21"/>
          <w:lang w:val="en-US" w:eastAsia="zh-CN"/>
        </w:rPr>
        <w:t>2.2</w:t>
      </w:r>
      <w:r>
        <w:rPr>
          <w:rFonts w:ascii="Times New Roman" w:hAnsi="Times New Roman" w:eastAsia="宋体" w:cs="Times New Roman"/>
          <w:sz w:val="24"/>
          <w:szCs w:val="21"/>
        </w:rPr>
        <w:t>GHz</w:t>
      </w:r>
      <w:r>
        <w:rPr>
          <w:rFonts w:hint="eastAsia" w:ascii="Times New Roman" w:hAnsi="Times New Roman" w:eastAsia="宋体" w:cs="Times New Roman"/>
          <w:sz w:val="24"/>
          <w:szCs w:val="21"/>
        </w:rPr>
        <w:t>，用户可根据需要指定任意核运行仿真模型；</w:t>
      </w:r>
    </w:p>
    <w:p>
      <w:pPr>
        <w:numPr>
          <w:ilvl w:val="0"/>
          <w:numId w:val="1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内存≥</w:t>
      </w:r>
      <w:r>
        <w:rPr>
          <w:rFonts w:hint="eastAsia" w:ascii="Times New Roman" w:hAnsi="Times New Roman" w:eastAsia="宋体" w:cs="Times New Roman"/>
          <w:sz w:val="24"/>
          <w:szCs w:val="21"/>
          <w:lang w:val="en-US" w:eastAsia="zh-CN"/>
        </w:rPr>
        <w:t>8</w:t>
      </w:r>
      <w:r>
        <w:rPr>
          <w:rFonts w:ascii="Times New Roman" w:hAnsi="Times New Roman" w:eastAsia="宋体" w:cs="Times New Roman"/>
          <w:sz w:val="24"/>
          <w:szCs w:val="21"/>
        </w:rPr>
        <w:t>G</w:t>
      </w:r>
      <w:r>
        <w:rPr>
          <w:rFonts w:hint="eastAsia" w:ascii="Times New Roman" w:hAnsi="Times New Roman" w:eastAsia="宋体" w:cs="Times New Roman"/>
          <w:sz w:val="24"/>
          <w:szCs w:val="21"/>
        </w:rPr>
        <w:t>，DDR4及以上</w:t>
      </w:r>
      <w:r>
        <w:rPr>
          <w:rFonts w:hint="eastAsia" w:ascii="Times New Roman" w:hAnsi="Times New Roman" w:eastAsia="宋体" w:cs="Times New Roman"/>
          <w:sz w:val="24"/>
          <w:szCs w:val="21"/>
          <w:lang w:eastAsia="zh-CN"/>
        </w:rPr>
        <w:t>。</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3.3通用IO通道技术要求</w:t>
      </w:r>
    </w:p>
    <w:p>
      <w:pPr>
        <w:spacing w:line="360" w:lineRule="auto"/>
        <w:outlineLvl w:val="4"/>
        <w:rPr>
          <w:rFonts w:ascii="Times New Roman" w:hAnsi="Times New Roman" w:eastAsia="宋体" w:cs="Times New Roman"/>
          <w:sz w:val="24"/>
          <w:szCs w:val="24"/>
        </w:rPr>
      </w:pPr>
      <w:bookmarkStart w:id="40" w:name="_Toc36026828"/>
      <w:bookmarkStart w:id="41" w:name="_Toc36027001"/>
      <w:r>
        <w:rPr>
          <w:rFonts w:hint="eastAsia" w:ascii="Times New Roman" w:hAnsi="Times New Roman" w:eastAsia="宋体" w:cs="Times New Roman"/>
          <w:sz w:val="24"/>
          <w:szCs w:val="24"/>
        </w:rPr>
        <w:t>3.3.1模拟输入通道</w:t>
      </w:r>
      <w:bookmarkEnd w:id="40"/>
      <w:bookmarkEnd w:id="41"/>
    </w:p>
    <w:p>
      <w:pPr>
        <w:numPr>
          <w:ilvl w:val="0"/>
          <w:numId w:val="1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分辨率：≥</w:t>
      </w:r>
      <w:r>
        <w:rPr>
          <w:rFonts w:ascii="Times New Roman" w:hAnsi="Times New Roman" w:eastAsia="宋体" w:cs="Times New Roman"/>
          <w:sz w:val="24"/>
          <w:szCs w:val="21"/>
        </w:rPr>
        <w:t>1</w:t>
      </w:r>
      <w:r>
        <w:rPr>
          <w:rFonts w:hint="eastAsia" w:ascii="Times New Roman" w:hAnsi="Times New Roman" w:eastAsia="宋体" w:cs="Times New Roman"/>
          <w:sz w:val="24"/>
          <w:szCs w:val="21"/>
        </w:rPr>
        <w:t>6</w:t>
      </w:r>
      <w:r>
        <w:rPr>
          <w:rFonts w:ascii="Times New Roman" w:hAnsi="Times New Roman" w:eastAsia="宋体" w:cs="Times New Roman"/>
          <w:sz w:val="24"/>
          <w:szCs w:val="21"/>
        </w:rPr>
        <w:t>bit</w:t>
      </w:r>
      <w:r>
        <w:rPr>
          <w:rFonts w:hint="eastAsia" w:ascii="Times New Roman" w:hAnsi="Times New Roman" w:eastAsia="宋体" w:cs="Times New Roman"/>
          <w:sz w:val="24"/>
          <w:szCs w:val="21"/>
        </w:rPr>
        <w:t>；</w:t>
      </w:r>
    </w:p>
    <w:p>
      <w:pPr>
        <w:numPr>
          <w:ilvl w:val="0"/>
          <w:numId w:val="1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采样率：≥52k</w:t>
      </w:r>
      <w:r>
        <w:rPr>
          <w:rFonts w:ascii="Times New Roman" w:hAnsi="Times New Roman" w:eastAsia="宋体" w:cs="Times New Roman"/>
          <w:sz w:val="24"/>
          <w:szCs w:val="21"/>
        </w:rPr>
        <w:t xml:space="preserve"> Sample/s</w:t>
      </w:r>
      <w:r>
        <w:rPr>
          <w:rFonts w:hint="eastAsia" w:ascii="Times New Roman" w:hAnsi="Times New Roman" w:eastAsia="宋体" w:cs="Times New Roman"/>
          <w:sz w:val="24"/>
          <w:szCs w:val="21"/>
        </w:rPr>
        <w:t>；</w:t>
      </w:r>
    </w:p>
    <w:p>
      <w:pPr>
        <w:numPr>
          <w:ilvl w:val="0"/>
          <w:numId w:val="1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电压采集范围</w:t>
      </w:r>
      <w:r>
        <w:rPr>
          <w:rFonts w:ascii="Times New Roman" w:hAnsi="Times New Roman" w:eastAsia="宋体" w:cs="Times New Roman"/>
          <w:sz w:val="24"/>
          <w:szCs w:val="21"/>
        </w:rPr>
        <w:t>可以</w:t>
      </w:r>
      <w:r>
        <w:rPr>
          <w:rFonts w:hint="eastAsia" w:ascii="Times New Roman" w:hAnsi="Times New Roman" w:eastAsia="宋体" w:cs="Times New Roman"/>
          <w:sz w:val="24"/>
          <w:szCs w:val="21"/>
        </w:rPr>
        <w:t>通过软件</w:t>
      </w:r>
      <w:r>
        <w:rPr>
          <w:rFonts w:ascii="Times New Roman" w:hAnsi="Times New Roman" w:eastAsia="宋体" w:cs="Times New Roman"/>
          <w:sz w:val="24"/>
          <w:szCs w:val="21"/>
        </w:rPr>
        <w:t>配置</w:t>
      </w:r>
      <w:r>
        <w:rPr>
          <w:rFonts w:hint="eastAsia" w:ascii="Times New Roman" w:hAnsi="Times New Roman" w:eastAsia="宋体" w:cs="Times New Roman"/>
          <w:sz w:val="24"/>
          <w:szCs w:val="21"/>
        </w:rPr>
        <w:t>，量程</w:t>
      </w:r>
      <w:r>
        <w:rPr>
          <w:rFonts w:ascii="Times New Roman" w:hAnsi="Times New Roman" w:eastAsia="宋体" w:cs="Times New Roman"/>
          <w:sz w:val="24"/>
          <w:szCs w:val="21"/>
        </w:rPr>
        <w:t>0V</w:t>
      </w:r>
      <w:r>
        <w:rPr>
          <w:rFonts w:hint="eastAsia" w:ascii="Times New Roman" w:hAnsi="Times New Roman" w:eastAsia="宋体" w:cs="Times New Roman"/>
          <w:sz w:val="24"/>
          <w:szCs w:val="21"/>
        </w:rPr>
        <w:t>~</w:t>
      </w:r>
      <w:r>
        <w:rPr>
          <w:rFonts w:ascii="Times New Roman" w:hAnsi="Times New Roman" w:eastAsia="宋体" w:cs="Times New Roman"/>
          <w:sz w:val="24"/>
          <w:szCs w:val="21"/>
        </w:rPr>
        <w:t>60</w:t>
      </w:r>
      <w:r>
        <w:rPr>
          <w:rFonts w:hint="eastAsia" w:ascii="Times New Roman" w:hAnsi="Times New Roman" w:eastAsia="宋体" w:cs="Times New Roman"/>
          <w:sz w:val="24"/>
          <w:szCs w:val="21"/>
        </w:rPr>
        <w:t>V；</w:t>
      </w:r>
      <w:r>
        <w:rPr>
          <w:rFonts w:ascii="Times New Roman" w:hAnsi="Times New Roman" w:eastAsia="宋体" w:cs="Times New Roman"/>
          <w:sz w:val="24"/>
          <w:szCs w:val="21"/>
        </w:rPr>
        <w:t xml:space="preserve"> </w:t>
      </w:r>
    </w:p>
    <w:p>
      <w:pPr>
        <w:numPr>
          <w:ilvl w:val="0"/>
          <w:numId w:val="1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过压保护范围：</w:t>
      </w:r>
      <w:r>
        <w:rPr>
          <w:rFonts w:ascii="Times New Roman" w:hAnsi="Times New Roman" w:eastAsia="宋体" w:cs="Times New Roman"/>
          <w:sz w:val="24"/>
          <w:szCs w:val="21"/>
        </w:rPr>
        <w:t>±</w:t>
      </w:r>
      <w:r>
        <w:rPr>
          <w:rFonts w:hint="eastAsia" w:ascii="Times New Roman" w:hAnsi="Times New Roman" w:eastAsia="宋体" w:cs="Times New Roman"/>
          <w:sz w:val="24"/>
          <w:szCs w:val="21"/>
        </w:rPr>
        <w:t>60V；</w:t>
      </w:r>
    </w:p>
    <w:p>
      <w:pPr>
        <w:spacing w:line="360" w:lineRule="auto"/>
        <w:outlineLvl w:val="4"/>
        <w:rPr>
          <w:rFonts w:ascii="Times New Roman" w:hAnsi="Times New Roman" w:eastAsia="宋体" w:cs="Times New Roman"/>
          <w:sz w:val="24"/>
          <w:szCs w:val="24"/>
        </w:rPr>
      </w:pPr>
      <w:bookmarkStart w:id="42" w:name="_Toc36027002"/>
      <w:bookmarkStart w:id="43" w:name="_Toc515378932"/>
      <w:bookmarkStart w:id="44" w:name="_Toc36026829"/>
      <w:r>
        <w:rPr>
          <w:rFonts w:hint="eastAsia" w:ascii="Times New Roman" w:hAnsi="Times New Roman" w:eastAsia="宋体" w:cs="Times New Roman"/>
          <w:sz w:val="24"/>
          <w:szCs w:val="24"/>
        </w:rPr>
        <w:t>3.3.2模拟输出通道</w:t>
      </w:r>
      <w:bookmarkEnd w:id="42"/>
      <w:bookmarkEnd w:id="43"/>
      <w:bookmarkEnd w:id="44"/>
    </w:p>
    <w:p>
      <w:pPr>
        <w:numPr>
          <w:ilvl w:val="0"/>
          <w:numId w:val="1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分辨率：≥</w:t>
      </w:r>
      <w:r>
        <w:rPr>
          <w:rFonts w:ascii="Times New Roman" w:hAnsi="Times New Roman" w:eastAsia="宋体" w:cs="Times New Roman"/>
          <w:sz w:val="24"/>
          <w:szCs w:val="21"/>
        </w:rPr>
        <w:t>1</w:t>
      </w:r>
      <w:r>
        <w:rPr>
          <w:rFonts w:hint="eastAsia" w:ascii="Times New Roman" w:hAnsi="Times New Roman" w:eastAsia="宋体" w:cs="Times New Roman"/>
          <w:sz w:val="24"/>
          <w:szCs w:val="21"/>
        </w:rPr>
        <w:t>6</w:t>
      </w:r>
      <w:r>
        <w:rPr>
          <w:rFonts w:ascii="Times New Roman" w:hAnsi="Times New Roman" w:eastAsia="宋体" w:cs="Times New Roman"/>
          <w:sz w:val="24"/>
          <w:szCs w:val="21"/>
        </w:rPr>
        <w:t>bit</w:t>
      </w:r>
      <w:r>
        <w:rPr>
          <w:rFonts w:hint="eastAsia" w:ascii="Times New Roman" w:hAnsi="Times New Roman" w:eastAsia="宋体" w:cs="Times New Roman"/>
          <w:sz w:val="24"/>
          <w:szCs w:val="21"/>
        </w:rPr>
        <w:t>；</w:t>
      </w:r>
    </w:p>
    <w:p>
      <w:pPr>
        <w:numPr>
          <w:ilvl w:val="0"/>
          <w:numId w:val="1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输出电压范围：0</w:t>
      </w:r>
      <w:r>
        <w:rPr>
          <w:rFonts w:ascii="Times New Roman" w:hAnsi="Times New Roman" w:eastAsia="宋体" w:cs="Times New Roman"/>
          <w:sz w:val="24"/>
          <w:szCs w:val="21"/>
        </w:rPr>
        <w:t>V~+10V</w:t>
      </w:r>
      <w:r>
        <w:rPr>
          <w:rFonts w:hint="eastAsia" w:ascii="Times New Roman" w:hAnsi="Times New Roman" w:eastAsia="宋体" w:cs="Times New Roman"/>
          <w:sz w:val="24"/>
          <w:szCs w:val="21"/>
        </w:rPr>
        <w:t>；</w:t>
      </w:r>
    </w:p>
    <w:p>
      <w:pPr>
        <w:numPr>
          <w:ilvl w:val="0"/>
          <w:numId w:val="1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最大持续电流：≥</w:t>
      </w:r>
      <w:r>
        <w:rPr>
          <w:rFonts w:ascii="Times New Roman" w:hAnsi="Times New Roman" w:eastAsia="宋体" w:cs="Times New Roman"/>
          <w:sz w:val="24"/>
          <w:szCs w:val="21"/>
        </w:rPr>
        <w:t>±</w:t>
      </w:r>
      <w:r>
        <w:rPr>
          <w:rFonts w:hint="eastAsia" w:ascii="Times New Roman" w:hAnsi="Times New Roman" w:eastAsia="宋体" w:cs="Times New Roman"/>
          <w:sz w:val="24"/>
          <w:szCs w:val="21"/>
          <w:lang w:val="en-US" w:eastAsia="zh-CN"/>
        </w:rPr>
        <w:t>8</w:t>
      </w:r>
      <w:r>
        <w:rPr>
          <w:rFonts w:ascii="Times New Roman" w:hAnsi="Times New Roman" w:eastAsia="宋体" w:cs="Times New Roman"/>
          <w:sz w:val="24"/>
          <w:szCs w:val="21"/>
        </w:rPr>
        <w:t>mA</w:t>
      </w:r>
      <w:r>
        <w:rPr>
          <w:rFonts w:hint="eastAsia" w:ascii="Times New Roman" w:hAnsi="Times New Roman" w:eastAsia="宋体" w:cs="Times New Roman"/>
          <w:sz w:val="24"/>
          <w:szCs w:val="21"/>
        </w:rPr>
        <w:t>；</w:t>
      </w:r>
    </w:p>
    <w:p>
      <w:pPr>
        <w:numPr>
          <w:ilvl w:val="0"/>
          <w:numId w:val="17"/>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输出短路保护</w:t>
      </w:r>
      <w:r>
        <w:rPr>
          <w:rFonts w:hint="eastAsia" w:ascii="Times New Roman" w:hAnsi="Times New Roman" w:eastAsia="宋体" w:cs="Times New Roman"/>
          <w:sz w:val="24"/>
          <w:szCs w:val="21"/>
        </w:rPr>
        <w:t>；</w:t>
      </w:r>
    </w:p>
    <w:p>
      <w:pPr>
        <w:numPr>
          <w:ilvl w:val="0"/>
          <w:numId w:val="1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过压保护范围：</w:t>
      </w:r>
      <w:r>
        <w:rPr>
          <w:rFonts w:ascii="Times New Roman" w:hAnsi="Times New Roman" w:eastAsia="宋体" w:cs="Times New Roman"/>
          <w:sz w:val="24"/>
          <w:szCs w:val="21"/>
        </w:rPr>
        <w:t>±</w:t>
      </w:r>
      <w:r>
        <w:rPr>
          <w:rFonts w:hint="eastAsia" w:ascii="Times New Roman" w:hAnsi="Times New Roman" w:eastAsia="宋体" w:cs="Times New Roman"/>
          <w:sz w:val="24"/>
          <w:szCs w:val="21"/>
        </w:rPr>
        <w:t>60V；</w:t>
      </w:r>
    </w:p>
    <w:p>
      <w:pPr>
        <w:numPr>
          <w:ilvl w:val="0"/>
          <w:numId w:val="1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输出最大误差：≤</w:t>
      </w:r>
      <w:r>
        <w:rPr>
          <w:rFonts w:ascii="Times New Roman" w:hAnsi="Times New Roman" w:eastAsia="宋体" w:cs="Times New Roman"/>
          <w:sz w:val="24"/>
          <w:szCs w:val="21"/>
        </w:rPr>
        <w:t>±</w:t>
      </w:r>
      <w:r>
        <w:rPr>
          <w:rFonts w:hint="eastAsia" w:ascii="Times New Roman" w:hAnsi="Times New Roman" w:eastAsia="宋体" w:cs="Times New Roman"/>
          <w:sz w:val="24"/>
          <w:szCs w:val="21"/>
        </w:rPr>
        <w:t>5mV。</w:t>
      </w:r>
    </w:p>
    <w:p>
      <w:pPr>
        <w:spacing w:line="360" w:lineRule="auto"/>
        <w:outlineLvl w:val="4"/>
        <w:rPr>
          <w:rFonts w:ascii="Times New Roman" w:hAnsi="Times New Roman" w:eastAsia="宋体" w:cs="Times New Roman"/>
          <w:sz w:val="24"/>
          <w:szCs w:val="24"/>
        </w:rPr>
      </w:pPr>
      <w:bookmarkStart w:id="45" w:name="_Toc36026830"/>
      <w:bookmarkStart w:id="46" w:name="_Toc36027003"/>
      <w:r>
        <w:rPr>
          <w:rFonts w:hint="eastAsia" w:ascii="Times New Roman" w:hAnsi="Times New Roman" w:eastAsia="宋体" w:cs="Times New Roman"/>
          <w:sz w:val="24"/>
          <w:szCs w:val="24"/>
        </w:rPr>
        <w:t>3.3.3数字/PWM输入通道</w:t>
      </w:r>
      <w:bookmarkEnd w:id="45"/>
      <w:bookmarkEnd w:id="46"/>
    </w:p>
    <w:p>
      <w:pPr>
        <w:numPr>
          <w:ilvl w:val="0"/>
          <w:numId w:val="1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输入电压范围：0V~+60V；</w:t>
      </w:r>
    </w:p>
    <w:p>
      <w:pPr>
        <w:numPr>
          <w:ilvl w:val="0"/>
          <w:numId w:val="1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输入阻抗：≥</w:t>
      </w:r>
      <w:r>
        <w:rPr>
          <w:rFonts w:hint="eastAsia" w:ascii="Times New Roman" w:hAnsi="Times New Roman" w:eastAsia="宋体" w:cs="Times New Roman"/>
          <w:sz w:val="24"/>
          <w:szCs w:val="21"/>
          <w:lang w:val="en-US" w:eastAsia="zh-CN"/>
        </w:rPr>
        <w:t>120k</w:t>
      </w:r>
      <w:r>
        <w:rPr>
          <w:rFonts w:hint="eastAsia" w:ascii="Times New Roman" w:hAnsi="Times New Roman" w:eastAsia="宋体" w:cs="Times New Roman"/>
          <w:sz w:val="24"/>
          <w:szCs w:val="21"/>
        </w:rPr>
        <w:t xml:space="preserve"> Ohm；</w:t>
      </w:r>
    </w:p>
    <w:p>
      <w:pPr>
        <w:numPr>
          <w:ilvl w:val="0"/>
          <w:numId w:val="1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阈值电压：可以通过软件设定，范围覆盖+1~+</w:t>
      </w:r>
      <w:r>
        <w:rPr>
          <w:rFonts w:hint="eastAsia" w:ascii="Times New Roman" w:hAnsi="Times New Roman" w:eastAsia="宋体" w:cs="Times New Roman"/>
          <w:sz w:val="24"/>
          <w:szCs w:val="21"/>
          <w:lang w:val="en-US" w:eastAsia="zh-CN"/>
        </w:rPr>
        <w:t>12</w:t>
      </w:r>
      <w:r>
        <w:rPr>
          <w:rFonts w:hint="eastAsia" w:ascii="Times New Roman" w:hAnsi="Times New Roman" w:eastAsia="宋体" w:cs="Times New Roman"/>
          <w:sz w:val="24"/>
          <w:szCs w:val="21"/>
        </w:rPr>
        <w:t>V；</w:t>
      </w:r>
    </w:p>
    <w:p>
      <w:pPr>
        <w:numPr>
          <w:ilvl w:val="0"/>
          <w:numId w:val="1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每个通道软件上可以配置为数字输入或PWM输入</w:t>
      </w:r>
    </w:p>
    <w:p>
      <w:pPr>
        <w:numPr>
          <w:ilvl w:val="0"/>
          <w:numId w:val="1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频率测量范围：0.5Hz~1</w:t>
      </w:r>
      <w:r>
        <w:rPr>
          <w:rFonts w:ascii="Times New Roman" w:hAnsi="Times New Roman" w:eastAsia="宋体" w:cs="Times New Roman"/>
          <w:sz w:val="24"/>
          <w:szCs w:val="21"/>
        </w:rPr>
        <w:t>00</w:t>
      </w:r>
      <w:r>
        <w:rPr>
          <w:rFonts w:hint="eastAsia" w:ascii="Times New Roman" w:hAnsi="Times New Roman" w:eastAsia="宋体" w:cs="Times New Roman"/>
          <w:sz w:val="24"/>
          <w:szCs w:val="21"/>
        </w:rPr>
        <w:t>kHz；</w:t>
      </w:r>
    </w:p>
    <w:p>
      <w:pPr>
        <w:numPr>
          <w:ilvl w:val="0"/>
          <w:numId w:val="1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过压保护范围：≥</w:t>
      </w:r>
      <w:r>
        <w:rPr>
          <w:rFonts w:ascii="Times New Roman" w:hAnsi="Times New Roman" w:eastAsia="宋体" w:cs="Times New Roman"/>
          <w:sz w:val="24"/>
          <w:szCs w:val="21"/>
        </w:rPr>
        <w:t>±</w:t>
      </w:r>
      <w:r>
        <w:rPr>
          <w:rFonts w:hint="eastAsia" w:ascii="Times New Roman" w:hAnsi="Times New Roman" w:eastAsia="宋体" w:cs="Times New Roman"/>
          <w:sz w:val="24"/>
          <w:szCs w:val="21"/>
        </w:rPr>
        <w:t>60V；</w:t>
      </w:r>
    </w:p>
    <w:p>
      <w:pPr>
        <w:numPr>
          <w:ilvl w:val="0"/>
          <w:numId w:val="18"/>
        </w:numPr>
        <w:spacing w:line="360" w:lineRule="auto"/>
        <w:rPr>
          <w:rFonts w:ascii="Times New Roman" w:hAnsi="Times New Roman" w:eastAsia="宋体" w:cs="Times New Roman"/>
          <w:color w:val="000000"/>
          <w:sz w:val="24"/>
          <w:szCs w:val="21"/>
        </w:rPr>
      </w:pPr>
      <w:r>
        <w:rPr>
          <w:rFonts w:hint="eastAsia" w:ascii="Times New Roman" w:hAnsi="Times New Roman" w:eastAsia="宋体" w:cs="Times New Roman"/>
          <w:sz w:val="24"/>
          <w:szCs w:val="24"/>
        </w:rPr>
        <w:t>0.5Hz~</w:t>
      </w:r>
      <w:r>
        <w:rPr>
          <w:rFonts w:hint="eastAsia" w:ascii="Times New Roman" w:hAnsi="Times New Roman" w:eastAsia="宋体" w:cs="Times New Roman"/>
          <w:color w:val="000000"/>
          <w:sz w:val="24"/>
          <w:szCs w:val="21"/>
        </w:rPr>
        <w:t>100kHz以内，频率测量误差≤</w:t>
      </w:r>
      <w:r>
        <w:rPr>
          <w:rFonts w:ascii="Times New Roman" w:hAnsi="Times New Roman" w:eastAsia="宋体" w:cs="Times New Roman"/>
          <w:color w:val="000000"/>
          <w:sz w:val="24"/>
          <w:szCs w:val="21"/>
        </w:rPr>
        <w:t>±</w:t>
      </w:r>
      <w:r>
        <w:rPr>
          <w:rFonts w:hint="eastAsia" w:ascii="Times New Roman" w:hAnsi="Times New Roman" w:eastAsia="宋体" w:cs="Times New Roman"/>
          <w:color w:val="000000"/>
          <w:sz w:val="24"/>
          <w:szCs w:val="21"/>
        </w:rPr>
        <w:t>0.2%；</w:t>
      </w:r>
    </w:p>
    <w:p>
      <w:pPr>
        <w:numPr>
          <w:ilvl w:val="0"/>
          <w:numId w:val="18"/>
        </w:numPr>
        <w:spacing w:line="360" w:lineRule="auto"/>
        <w:rPr>
          <w:rFonts w:ascii="Times New Roman" w:hAnsi="Times New Roman" w:eastAsia="宋体" w:cs="Times New Roman"/>
          <w:color w:val="000000"/>
          <w:sz w:val="24"/>
          <w:szCs w:val="21"/>
        </w:rPr>
      </w:pPr>
      <w:r>
        <w:rPr>
          <w:rFonts w:hint="eastAsia" w:ascii="Times New Roman" w:hAnsi="Times New Roman" w:eastAsia="宋体" w:cs="Times New Roman"/>
          <w:sz w:val="24"/>
          <w:szCs w:val="24"/>
        </w:rPr>
        <w:t>0.5Hz~</w:t>
      </w:r>
      <w:r>
        <w:rPr>
          <w:rFonts w:hint="eastAsia" w:ascii="Times New Roman" w:hAnsi="Times New Roman" w:eastAsia="宋体" w:cs="Times New Roman"/>
          <w:color w:val="000000"/>
          <w:sz w:val="24"/>
          <w:szCs w:val="21"/>
        </w:rPr>
        <w:t>100kHz以内，</w:t>
      </w:r>
      <w:r>
        <w:rPr>
          <w:rFonts w:ascii="Times New Roman" w:hAnsi="Times New Roman" w:eastAsia="宋体" w:cs="Times New Roman"/>
          <w:color w:val="000000"/>
          <w:sz w:val="24"/>
          <w:szCs w:val="21"/>
        </w:rPr>
        <w:t>1</w:t>
      </w:r>
      <w:r>
        <w:rPr>
          <w:rFonts w:hint="eastAsia" w:ascii="Times New Roman" w:hAnsi="Times New Roman" w:eastAsia="宋体" w:cs="Times New Roman"/>
          <w:color w:val="000000"/>
          <w:sz w:val="24"/>
          <w:szCs w:val="21"/>
        </w:rPr>
        <w:t>%~99%的占空比区间内，占空比绝对误差≤</w:t>
      </w:r>
      <w:r>
        <w:rPr>
          <w:rFonts w:ascii="Times New Roman" w:hAnsi="Times New Roman" w:eastAsia="宋体" w:cs="Times New Roman"/>
          <w:color w:val="000000"/>
          <w:sz w:val="24"/>
          <w:szCs w:val="21"/>
        </w:rPr>
        <w:t>±</w:t>
      </w:r>
      <w:r>
        <w:rPr>
          <w:rFonts w:hint="eastAsia" w:ascii="Times New Roman" w:hAnsi="Times New Roman" w:eastAsia="宋体" w:cs="Times New Roman"/>
          <w:color w:val="000000"/>
          <w:sz w:val="24"/>
          <w:szCs w:val="21"/>
        </w:rPr>
        <w:t>0.1%。</w:t>
      </w:r>
    </w:p>
    <w:p>
      <w:pPr>
        <w:spacing w:line="360" w:lineRule="auto"/>
        <w:outlineLvl w:val="4"/>
        <w:rPr>
          <w:rFonts w:ascii="Times New Roman" w:hAnsi="Times New Roman" w:eastAsia="宋体" w:cs="Times New Roman"/>
          <w:sz w:val="24"/>
          <w:szCs w:val="24"/>
        </w:rPr>
      </w:pPr>
      <w:bookmarkStart w:id="47" w:name="_Toc515378934"/>
      <w:bookmarkStart w:id="48" w:name="_Toc36027004"/>
      <w:bookmarkStart w:id="49" w:name="_Toc36026831"/>
      <w:r>
        <w:rPr>
          <w:rFonts w:hint="eastAsia" w:ascii="Times New Roman" w:hAnsi="Times New Roman" w:eastAsia="宋体" w:cs="Times New Roman"/>
          <w:sz w:val="24"/>
          <w:szCs w:val="24"/>
        </w:rPr>
        <w:t>3.3.4数字/PWM输出通道</w:t>
      </w:r>
      <w:bookmarkEnd w:id="47"/>
      <w:bookmarkEnd w:id="48"/>
      <w:bookmarkEnd w:id="49"/>
    </w:p>
    <w:p>
      <w:pPr>
        <w:numPr>
          <w:ilvl w:val="0"/>
          <w:numId w:val="19"/>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输出可以</w:t>
      </w:r>
      <w:r>
        <w:rPr>
          <w:rFonts w:hint="eastAsia" w:ascii="Times New Roman" w:hAnsi="Times New Roman" w:eastAsia="宋体" w:cs="Times New Roman"/>
          <w:sz w:val="24"/>
          <w:szCs w:val="21"/>
        </w:rPr>
        <w:t>通过软件</w:t>
      </w:r>
      <w:r>
        <w:rPr>
          <w:rFonts w:ascii="Times New Roman" w:hAnsi="Times New Roman" w:eastAsia="宋体" w:cs="Times New Roman"/>
          <w:sz w:val="24"/>
          <w:szCs w:val="21"/>
        </w:rPr>
        <w:t>配置为</w:t>
      </w:r>
      <w:r>
        <w:rPr>
          <w:rFonts w:hint="eastAsia" w:ascii="Times New Roman" w:hAnsi="Times New Roman" w:eastAsia="宋体" w:cs="Times New Roman"/>
          <w:sz w:val="24"/>
          <w:szCs w:val="21"/>
        </w:rPr>
        <w:t>上拉</w:t>
      </w:r>
      <w:r>
        <w:rPr>
          <w:rFonts w:ascii="Times New Roman" w:hAnsi="Times New Roman" w:eastAsia="宋体" w:cs="Times New Roman"/>
          <w:sz w:val="24"/>
          <w:szCs w:val="21"/>
        </w:rPr>
        <w:t>、</w:t>
      </w:r>
      <w:r>
        <w:rPr>
          <w:rFonts w:hint="eastAsia" w:ascii="Times New Roman" w:hAnsi="Times New Roman" w:eastAsia="宋体" w:cs="Times New Roman"/>
          <w:sz w:val="24"/>
          <w:szCs w:val="21"/>
        </w:rPr>
        <w:t>下拉</w:t>
      </w:r>
      <w:r>
        <w:rPr>
          <w:rFonts w:ascii="Times New Roman" w:hAnsi="Times New Roman" w:eastAsia="宋体" w:cs="Times New Roman"/>
          <w:sz w:val="24"/>
          <w:szCs w:val="21"/>
        </w:rPr>
        <w:t>或者</w:t>
      </w:r>
      <w:r>
        <w:rPr>
          <w:rFonts w:hint="eastAsia" w:ascii="Times New Roman" w:hAnsi="Times New Roman" w:eastAsia="宋体" w:cs="Times New Roman"/>
          <w:sz w:val="24"/>
          <w:szCs w:val="21"/>
        </w:rPr>
        <w:t>上拉</w:t>
      </w:r>
      <w:r>
        <w:rPr>
          <w:rFonts w:ascii="Times New Roman" w:hAnsi="Times New Roman" w:eastAsia="宋体" w:cs="Times New Roman"/>
          <w:sz w:val="24"/>
          <w:szCs w:val="21"/>
        </w:rPr>
        <w:t>+</w:t>
      </w:r>
      <w:r>
        <w:rPr>
          <w:rFonts w:hint="eastAsia" w:ascii="Times New Roman" w:hAnsi="Times New Roman" w:eastAsia="宋体" w:cs="Times New Roman"/>
          <w:sz w:val="24"/>
          <w:szCs w:val="21"/>
        </w:rPr>
        <w:t>下拉输出形式；</w:t>
      </w:r>
    </w:p>
    <w:p>
      <w:pPr>
        <w:numPr>
          <w:ilvl w:val="0"/>
          <w:numId w:val="1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每个通道可以有一个外部参考电源，可以通过软件控制在两个</w:t>
      </w:r>
      <w:r>
        <w:rPr>
          <w:rFonts w:ascii="Times New Roman" w:hAnsi="Times New Roman" w:eastAsia="宋体" w:cs="Times New Roman"/>
          <w:sz w:val="24"/>
          <w:szCs w:val="21"/>
        </w:rPr>
        <w:t>外部参考电源</w:t>
      </w:r>
      <w:r>
        <w:rPr>
          <w:rFonts w:hint="eastAsia" w:ascii="Times New Roman" w:hAnsi="Times New Roman" w:eastAsia="宋体" w:cs="Times New Roman"/>
          <w:sz w:val="24"/>
          <w:szCs w:val="21"/>
        </w:rPr>
        <w:t>之间进行选择</w:t>
      </w:r>
      <w:r>
        <w:rPr>
          <w:rFonts w:ascii="Times New Roman" w:hAnsi="Times New Roman" w:eastAsia="宋体" w:cs="Times New Roman"/>
          <w:sz w:val="24"/>
          <w:szCs w:val="21"/>
        </w:rPr>
        <w:t>，</w:t>
      </w:r>
      <w:r>
        <w:rPr>
          <w:rFonts w:hint="eastAsia" w:ascii="Times New Roman" w:hAnsi="Times New Roman" w:eastAsia="宋体" w:cs="Times New Roman"/>
          <w:sz w:val="24"/>
          <w:szCs w:val="21"/>
        </w:rPr>
        <w:t>参考电源</w:t>
      </w:r>
      <w:r>
        <w:rPr>
          <w:rFonts w:ascii="Times New Roman" w:hAnsi="Times New Roman" w:eastAsia="宋体" w:cs="Times New Roman"/>
          <w:sz w:val="24"/>
          <w:szCs w:val="21"/>
        </w:rPr>
        <w:t>电压范围</w:t>
      </w:r>
      <w:r>
        <w:rPr>
          <w:rFonts w:hint="eastAsia" w:ascii="Times New Roman" w:hAnsi="Times New Roman" w:eastAsia="宋体" w:cs="Times New Roman"/>
          <w:sz w:val="24"/>
          <w:szCs w:val="21"/>
          <w:lang w:val="en-US" w:eastAsia="zh-CN"/>
        </w:rPr>
        <w:t>5</w:t>
      </w:r>
      <w:r>
        <w:rPr>
          <w:rFonts w:ascii="Times New Roman" w:hAnsi="Times New Roman" w:eastAsia="宋体" w:cs="Times New Roman"/>
          <w:sz w:val="24"/>
          <w:szCs w:val="21"/>
        </w:rPr>
        <w:t>~60V</w:t>
      </w:r>
      <w:r>
        <w:rPr>
          <w:rFonts w:hint="eastAsia" w:ascii="Times New Roman" w:hAnsi="Times New Roman" w:eastAsia="宋体" w:cs="Times New Roman"/>
          <w:sz w:val="24"/>
          <w:szCs w:val="21"/>
        </w:rPr>
        <w:t>；</w:t>
      </w:r>
    </w:p>
    <w:p>
      <w:pPr>
        <w:numPr>
          <w:ilvl w:val="0"/>
          <w:numId w:val="19"/>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最大持续电流</w:t>
      </w:r>
      <w:r>
        <w:rPr>
          <w:rFonts w:hint="eastAsia" w:ascii="Times New Roman" w:hAnsi="Times New Roman" w:eastAsia="宋体" w:cs="Times New Roman"/>
          <w:sz w:val="24"/>
          <w:szCs w:val="21"/>
        </w:rPr>
        <w:t>：≥3</w:t>
      </w:r>
      <w:r>
        <w:rPr>
          <w:rFonts w:ascii="Times New Roman" w:hAnsi="Times New Roman" w:eastAsia="宋体" w:cs="Times New Roman"/>
          <w:sz w:val="24"/>
          <w:szCs w:val="21"/>
        </w:rPr>
        <w:t>0mA</w:t>
      </w:r>
      <w:r>
        <w:rPr>
          <w:rFonts w:hint="eastAsia" w:ascii="Times New Roman" w:hAnsi="Times New Roman" w:eastAsia="宋体" w:cs="Times New Roman"/>
          <w:sz w:val="24"/>
          <w:szCs w:val="21"/>
        </w:rPr>
        <w:t>；</w:t>
      </w:r>
    </w:p>
    <w:p>
      <w:pPr>
        <w:numPr>
          <w:ilvl w:val="0"/>
          <w:numId w:val="1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每个通道软件上可以配置为数字输出、PWM输出；</w:t>
      </w:r>
    </w:p>
    <w:p>
      <w:pPr>
        <w:numPr>
          <w:ilvl w:val="0"/>
          <w:numId w:val="1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输出频率范围：0.5Hz~1</w:t>
      </w:r>
      <w:r>
        <w:rPr>
          <w:rFonts w:ascii="Times New Roman" w:hAnsi="Times New Roman" w:eastAsia="宋体" w:cs="Times New Roman"/>
          <w:sz w:val="24"/>
          <w:szCs w:val="21"/>
        </w:rPr>
        <w:t>00</w:t>
      </w:r>
      <w:r>
        <w:rPr>
          <w:rFonts w:hint="eastAsia" w:ascii="Times New Roman" w:hAnsi="Times New Roman" w:eastAsia="宋体" w:cs="Times New Roman"/>
          <w:sz w:val="24"/>
          <w:szCs w:val="21"/>
        </w:rPr>
        <w:t>kHz；</w:t>
      </w:r>
    </w:p>
    <w:p>
      <w:pPr>
        <w:numPr>
          <w:ilvl w:val="0"/>
          <w:numId w:val="19"/>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过压保护范围</w:t>
      </w:r>
      <w:r>
        <w:rPr>
          <w:rFonts w:hint="eastAsia" w:ascii="Times New Roman" w:hAnsi="Times New Roman" w:eastAsia="宋体" w:cs="Times New Roman"/>
          <w:sz w:val="24"/>
          <w:szCs w:val="21"/>
        </w:rPr>
        <w:t>：0</w:t>
      </w:r>
      <w:r>
        <w:rPr>
          <w:rFonts w:ascii="Times New Roman" w:hAnsi="Times New Roman" w:eastAsia="宋体" w:cs="Times New Roman"/>
          <w:sz w:val="24"/>
          <w:szCs w:val="21"/>
        </w:rPr>
        <w:t>~</w:t>
      </w:r>
      <w:r>
        <w:rPr>
          <w:rFonts w:hint="eastAsia" w:ascii="Times New Roman" w:hAnsi="Times New Roman" w:eastAsia="宋体" w:cs="Times New Roman"/>
          <w:sz w:val="24"/>
          <w:szCs w:val="21"/>
        </w:rPr>
        <w:t>60V；</w:t>
      </w:r>
    </w:p>
    <w:p>
      <w:pPr>
        <w:numPr>
          <w:ilvl w:val="0"/>
          <w:numId w:val="19"/>
        </w:numPr>
        <w:spacing w:line="360" w:lineRule="auto"/>
        <w:rPr>
          <w:rFonts w:ascii="Times New Roman" w:hAnsi="Times New Roman" w:eastAsia="宋体" w:cs="Times New Roman"/>
          <w:color w:val="000000"/>
          <w:sz w:val="24"/>
          <w:szCs w:val="21"/>
        </w:rPr>
      </w:pPr>
      <w:r>
        <w:rPr>
          <w:rFonts w:hint="eastAsia" w:ascii="Times New Roman" w:hAnsi="Times New Roman" w:eastAsia="宋体" w:cs="Times New Roman"/>
          <w:sz w:val="24"/>
          <w:szCs w:val="24"/>
        </w:rPr>
        <w:t>0.5Hz~</w:t>
      </w:r>
      <w:r>
        <w:rPr>
          <w:rFonts w:hint="eastAsia" w:ascii="Times New Roman" w:hAnsi="Times New Roman" w:eastAsia="宋体" w:cs="Times New Roman"/>
          <w:color w:val="000000"/>
          <w:sz w:val="24"/>
          <w:szCs w:val="21"/>
        </w:rPr>
        <w:t>100kHz以内，输出频率误差≤</w:t>
      </w:r>
      <w:r>
        <w:rPr>
          <w:rFonts w:ascii="Times New Roman" w:hAnsi="Times New Roman" w:eastAsia="宋体" w:cs="Times New Roman"/>
          <w:color w:val="000000"/>
          <w:sz w:val="24"/>
          <w:szCs w:val="21"/>
        </w:rPr>
        <w:t>±</w:t>
      </w:r>
      <w:r>
        <w:rPr>
          <w:rFonts w:hint="eastAsia" w:ascii="Times New Roman" w:hAnsi="Times New Roman" w:eastAsia="宋体" w:cs="Times New Roman"/>
          <w:color w:val="000000"/>
          <w:sz w:val="24"/>
          <w:szCs w:val="21"/>
        </w:rPr>
        <w:t>0.25%；</w:t>
      </w:r>
    </w:p>
    <w:p>
      <w:pPr>
        <w:numPr>
          <w:ilvl w:val="0"/>
          <w:numId w:val="19"/>
        </w:numPr>
        <w:spacing w:line="360" w:lineRule="auto"/>
        <w:rPr>
          <w:rFonts w:ascii="Times New Roman" w:hAnsi="Times New Roman" w:eastAsia="宋体" w:cs="Times New Roman"/>
          <w:color w:val="000000"/>
          <w:sz w:val="24"/>
          <w:szCs w:val="21"/>
        </w:rPr>
      </w:pPr>
      <w:r>
        <w:rPr>
          <w:rFonts w:hint="eastAsia" w:ascii="Times New Roman" w:hAnsi="Times New Roman" w:eastAsia="宋体" w:cs="Times New Roman"/>
          <w:sz w:val="24"/>
          <w:szCs w:val="24"/>
        </w:rPr>
        <w:t>0.5Hz~</w:t>
      </w:r>
      <w:r>
        <w:rPr>
          <w:rFonts w:hint="eastAsia" w:ascii="Times New Roman" w:hAnsi="Times New Roman" w:eastAsia="宋体" w:cs="Times New Roman"/>
          <w:color w:val="000000"/>
          <w:sz w:val="24"/>
          <w:szCs w:val="21"/>
        </w:rPr>
        <w:t>100kHz以内，</w:t>
      </w:r>
      <w:r>
        <w:rPr>
          <w:rFonts w:ascii="Times New Roman" w:hAnsi="Times New Roman" w:eastAsia="宋体" w:cs="Times New Roman"/>
          <w:color w:val="000000"/>
          <w:sz w:val="24"/>
          <w:szCs w:val="21"/>
        </w:rPr>
        <w:t>15</w:t>
      </w:r>
      <w:r>
        <w:rPr>
          <w:rFonts w:hint="eastAsia" w:ascii="Times New Roman" w:hAnsi="Times New Roman" w:eastAsia="宋体" w:cs="Times New Roman"/>
          <w:color w:val="000000"/>
          <w:sz w:val="24"/>
          <w:szCs w:val="21"/>
        </w:rPr>
        <w:t>%~</w:t>
      </w:r>
      <w:r>
        <w:rPr>
          <w:rFonts w:ascii="Times New Roman" w:hAnsi="Times New Roman" w:eastAsia="宋体" w:cs="Times New Roman"/>
          <w:color w:val="000000"/>
          <w:sz w:val="24"/>
          <w:szCs w:val="21"/>
        </w:rPr>
        <w:t>85</w:t>
      </w:r>
      <w:r>
        <w:rPr>
          <w:rFonts w:hint="eastAsia" w:ascii="Times New Roman" w:hAnsi="Times New Roman" w:eastAsia="宋体" w:cs="Times New Roman"/>
          <w:color w:val="000000"/>
          <w:sz w:val="24"/>
          <w:szCs w:val="21"/>
        </w:rPr>
        <w:t>%的占空比区间内，占空比绝对误差≤</w:t>
      </w:r>
      <w:r>
        <w:rPr>
          <w:rFonts w:ascii="Times New Roman" w:hAnsi="Times New Roman" w:eastAsia="宋体" w:cs="Times New Roman"/>
          <w:color w:val="000000"/>
          <w:sz w:val="24"/>
          <w:szCs w:val="21"/>
        </w:rPr>
        <w:t>±</w:t>
      </w:r>
      <w:r>
        <w:rPr>
          <w:rFonts w:hint="eastAsia" w:ascii="Times New Roman" w:hAnsi="Times New Roman" w:eastAsia="宋体" w:cs="Times New Roman"/>
          <w:color w:val="000000"/>
          <w:sz w:val="24"/>
          <w:szCs w:val="21"/>
        </w:rPr>
        <w:t>0.</w:t>
      </w:r>
      <w:r>
        <w:rPr>
          <w:rFonts w:ascii="Times New Roman" w:hAnsi="Times New Roman" w:eastAsia="宋体" w:cs="Times New Roman"/>
          <w:color w:val="000000"/>
          <w:sz w:val="24"/>
          <w:szCs w:val="21"/>
        </w:rPr>
        <w:t>5</w:t>
      </w:r>
      <w:r>
        <w:rPr>
          <w:rFonts w:hint="eastAsia" w:ascii="Times New Roman" w:hAnsi="Times New Roman" w:eastAsia="宋体" w:cs="Times New Roman"/>
          <w:color w:val="000000"/>
          <w:sz w:val="24"/>
          <w:szCs w:val="21"/>
        </w:rPr>
        <w:t>%。</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3.3.5电阻输出通道</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电阻输出范围：5ohm~</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Mohm，步进1ohm；</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精度：＞20</w:t>
      </w:r>
      <w:r>
        <w:rPr>
          <w:rFonts w:ascii="Times New Roman" w:hAnsi="Times New Roman" w:eastAsia="宋体" w:cs="Times New Roman"/>
          <w:sz w:val="24"/>
          <w:szCs w:val="24"/>
        </w:rPr>
        <w:t>00</w:t>
      </w:r>
      <w:r>
        <w:rPr>
          <w:rFonts w:hint="eastAsia" w:ascii="Times New Roman" w:hAnsi="Times New Roman" w:eastAsia="宋体" w:cs="Times New Roman"/>
          <w:sz w:val="24"/>
          <w:szCs w:val="24"/>
        </w:rPr>
        <w:t>欧姆，输出设定值的0.1%；≤20</w:t>
      </w:r>
      <w:r>
        <w:rPr>
          <w:rFonts w:ascii="Times New Roman" w:hAnsi="Times New Roman" w:eastAsia="宋体" w:cs="Times New Roman"/>
          <w:sz w:val="24"/>
          <w:szCs w:val="24"/>
        </w:rPr>
        <w:t>00</w:t>
      </w:r>
      <w:r>
        <w:rPr>
          <w:rFonts w:hint="eastAsia" w:ascii="Times New Roman" w:hAnsi="Times New Roman" w:eastAsia="宋体" w:cs="Times New Roman"/>
          <w:sz w:val="24"/>
          <w:szCs w:val="24"/>
        </w:rPr>
        <w:t>欧姆，误差≤2Ω</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通道限制电压范围：±30V；</w:t>
      </w:r>
    </w:p>
    <w:p>
      <w:pPr>
        <w:pStyle w:val="129"/>
        <w:numPr>
          <w:ilvl w:val="0"/>
          <w:numId w:val="20"/>
        </w:numPr>
        <w:spacing w:line="360" w:lineRule="auto"/>
        <w:ind w:firstLineChars="0"/>
        <w:rPr>
          <w:rFonts w:ascii="Times New Roman" w:hAnsi="Times New Roman" w:eastAsia="宋体" w:cs="Times New Roman"/>
          <w:sz w:val="24"/>
          <w:szCs w:val="21"/>
        </w:rPr>
      </w:pPr>
      <w:r>
        <w:rPr>
          <w:rFonts w:hint="eastAsia" w:ascii="Times New Roman" w:hAnsi="Times New Roman" w:eastAsia="宋体" w:cs="Times New Roman"/>
          <w:sz w:val="24"/>
          <w:szCs w:val="21"/>
        </w:rPr>
        <w:t>具有过流保护能力，电流保护范围±50mA</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3.3.6轮速仿真板卡技术要求</w:t>
      </w:r>
    </w:p>
    <w:p>
      <w:pPr>
        <w:spacing w:line="360" w:lineRule="auto"/>
        <w:ind w:firstLine="480" w:firstLineChars="200"/>
        <w:rPr>
          <w:rFonts w:ascii="Times New Roman" w:hAnsi="Times New Roman" w:eastAsia="宋体" w:cs="Times New Roman"/>
          <w:sz w:val="24"/>
          <w:szCs w:val="21"/>
        </w:rPr>
      </w:pPr>
      <w:bookmarkStart w:id="50" w:name="_Hlk150874775"/>
      <w:r>
        <w:rPr>
          <w:rFonts w:hint="eastAsia" w:ascii="Times New Roman" w:hAnsi="Times New Roman" w:eastAsia="宋体" w:cs="Times New Roman"/>
          <w:sz w:val="24"/>
          <w:szCs w:val="21"/>
        </w:rPr>
        <w:t>每个通道要求可以通过软件配置输出信号类型，至少支持如下轮速传感器的模拟；</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被动型传感器，正弦波模拟输出信号（型号：“DF6”）；</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主动型传感器，电流接口的数字传感器，2种电流等级（型号：“DF10”）；</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主动型传感器，电流接口的数字传感器，3种电流等级，反向/正向编码（型号：“DF10-RotDir”）；</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主动型传感器，电流接口的数字传感器，2种电流等级及附加信息（ 型号：“DF11i”）；</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主动型传感器，电流接口的数字传感器，3种电流等级及附加信息（型号：“VDA”)；</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要求支持轮速的故障模拟，如电流值超限，缺齿等故障；</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正弦波电压输出范围≥</w:t>
      </w:r>
      <w:r>
        <w:rPr>
          <w:rFonts w:ascii="Times New Roman" w:hAnsi="Times New Roman" w:eastAsia="宋体" w:cs="Times New Roman"/>
          <w:sz w:val="24"/>
          <w:szCs w:val="24"/>
        </w:rPr>
        <w:t>±</w:t>
      </w:r>
      <w:r>
        <w:rPr>
          <w:rFonts w:hint="eastAsia" w:ascii="Times New Roman" w:hAnsi="Times New Roman" w:eastAsia="宋体" w:cs="Times New Roman"/>
          <w:sz w:val="24"/>
          <w:szCs w:val="24"/>
        </w:rPr>
        <w:t>10V，电流范围≥</w:t>
      </w:r>
      <w:r>
        <w:rPr>
          <w:rFonts w:ascii="Times New Roman" w:hAnsi="Times New Roman" w:eastAsia="宋体" w:cs="Times New Roman"/>
          <w:sz w:val="24"/>
          <w:szCs w:val="24"/>
        </w:rPr>
        <w:t>±</w:t>
      </w:r>
      <w:r>
        <w:rPr>
          <w:rFonts w:hint="eastAsia" w:ascii="Times New Roman" w:hAnsi="Times New Roman" w:eastAsia="宋体" w:cs="Times New Roman"/>
          <w:sz w:val="24"/>
          <w:szCs w:val="24"/>
        </w:rPr>
        <w:t>5mA，带过流保护功能；</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要求电流型信号输出范围0~30mA；</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要求支持过压保护，保护范围≥</w:t>
      </w:r>
      <w:r>
        <w:rPr>
          <w:rFonts w:ascii="Times New Roman" w:hAnsi="Times New Roman" w:eastAsia="宋体" w:cs="Times New Roman"/>
          <w:sz w:val="24"/>
          <w:szCs w:val="24"/>
        </w:rPr>
        <w:t>±</w:t>
      </w:r>
      <w:r>
        <w:rPr>
          <w:rFonts w:hint="eastAsia" w:ascii="Times New Roman" w:hAnsi="Times New Roman" w:eastAsia="宋体" w:cs="Times New Roman"/>
          <w:sz w:val="24"/>
          <w:szCs w:val="24"/>
        </w:rPr>
        <w:t>60V。</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3.3.7电流采集板卡技术要求</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支持最大采集电流≥±10A；</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每个通道均带保险丝；</w:t>
      </w:r>
    </w:p>
    <w:p>
      <w:pPr>
        <w:numPr>
          <w:ilvl w:val="0"/>
          <w:numId w:val="20"/>
        </w:num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电流采集精度≥满量程0.5%+150mA。</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3.3.8 电感型位置传感器</w:t>
      </w:r>
    </w:p>
    <w:p>
      <w:pPr>
        <w:pStyle w:val="16"/>
      </w:pPr>
      <w:r>
        <w:rPr>
          <w:rFonts w:hint="eastAsia"/>
          <w:highlight w:val="yellow"/>
        </w:rPr>
        <w:t>需要模拟以下不同的电感特性：</w:t>
      </w:r>
    </w:p>
    <w:p>
      <w:pPr>
        <w:pStyle w:val="16"/>
      </w:pPr>
      <w:r>
        <w:rPr>
          <w:rFonts w:hint="eastAsia" w:ascii="宋体" w:hAnsi="宋体" w:cs="宋体"/>
          <w:sz w:val="24"/>
          <w:szCs w:val="24"/>
        </w:rPr>
        <w:drawing>
          <wp:inline distT="0" distB="0" distL="114300" distR="114300">
            <wp:extent cx="3070860" cy="715010"/>
            <wp:effectExtent l="0" t="0" r="15240" b="8890"/>
            <wp:docPr id="1418361931" name="图片 141836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61931" name="图片 1418361931"/>
                    <pic:cNvPicPr>
                      <a:picLocks noChangeAspect="1"/>
                    </pic:cNvPicPr>
                  </pic:nvPicPr>
                  <pic:blipFill>
                    <a:blip r:embed="rId44"/>
                    <a:stretch>
                      <a:fillRect/>
                    </a:stretch>
                  </pic:blipFill>
                  <pic:spPr>
                    <a:xfrm>
                      <a:off x="0" y="0"/>
                      <a:ext cx="3070860" cy="715010"/>
                    </a:xfrm>
                    <a:prstGeom prst="rect">
                      <a:avLst/>
                    </a:prstGeom>
                    <a:noFill/>
                    <a:ln>
                      <a:noFill/>
                    </a:ln>
                  </pic:spPr>
                </pic:pic>
              </a:graphicData>
            </a:graphic>
          </wp:inline>
        </w:drawing>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3.3.9 磁电型霍尔传感器</w:t>
      </w:r>
    </w:p>
    <w:p>
      <w:pPr>
        <w:pStyle w:val="16"/>
      </w:pPr>
      <w:r>
        <w:rPr>
          <w:rFonts w:hint="eastAsia"/>
        </w:rPr>
        <w:t>支持方波信号输出，幅值和频率信号可调：</w:t>
      </w:r>
    </w:p>
    <w:p>
      <w:pPr>
        <w:pStyle w:val="16"/>
        <w:numPr>
          <w:ilvl w:val="0"/>
          <w:numId w:val="21"/>
        </w:numPr>
      </w:pPr>
      <w:r>
        <w:rPr>
          <w:rFonts w:hint="eastAsia"/>
        </w:rPr>
        <w:t>幅值：±15V；</w:t>
      </w:r>
    </w:p>
    <w:p>
      <w:pPr>
        <w:pStyle w:val="16"/>
        <w:numPr>
          <w:ilvl w:val="0"/>
          <w:numId w:val="21"/>
        </w:numPr>
      </w:pPr>
      <w:r>
        <w:rPr>
          <w:rFonts w:hint="eastAsia"/>
        </w:rPr>
        <w:t>输出频率范围：0.001Hz-100KHz；</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3.3.10 霍尔电流型传感器</w:t>
      </w:r>
    </w:p>
    <w:p>
      <w:pPr>
        <w:pStyle w:val="16"/>
      </w:pPr>
      <w:r>
        <w:rPr>
          <w:rFonts w:hint="eastAsia"/>
        </w:rPr>
        <w:t>可以根据设定的参数输出对应的PWM波，并且波形的电流大小可设定，并支持底边驱动和高边驱动的切换，具体参数如下：</w:t>
      </w:r>
    </w:p>
    <w:p>
      <w:pPr>
        <w:pStyle w:val="16"/>
        <w:numPr>
          <w:ilvl w:val="0"/>
          <w:numId w:val="22"/>
        </w:numPr>
      </w:pPr>
      <w:r>
        <w:rPr>
          <w:rFonts w:hint="eastAsia"/>
        </w:rPr>
        <w:t>输出频率：0.02Hz-1Mhz；</w:t>
      </w:r>
    </w:p>
    <w:p>
      <w:pPr>
        <w:pStyle w:val="16"/>
        <w:numPr>
          <w:ilvl w:val="0"/>
          <w:numId w:val="22"/>
        </w:numPr>
      </w:pPr>
      <w:r>
        <w:rPr>
          <w:rFonts w:hint="eastAsia"/>
        </w:rPr>
        <w:t>电流幅值：-150mA-150mA;</w:t>
      </w:r>
    </w:p>
    <w:bookmarkEnd w:id="50"/>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3.5总线通讯板卡技术要求</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3.5.1CAN/CANFD通道技术要求</w:t>
      </w:r>
    </w:p>
    <w:p>
      <w:pPr>
        <w:numPr>
          <w:ilvl w:val="0"/>
          <w:numId w:val="2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w:t>
      </w:r>
      <w:r>
        <w:rPr>
          <w:rFonts w:ascii="Times New Roman" w:hAnsi="Times New Roman" w:eastAsia="宋体" w:cs="Times New Roman"/>
          <w:sz w:val="24"/>
          <w:szCs w:val="21"/>
        </w:rPr>
        <w:t>CAN2.0A</w:t>
      </w:r>
      <w:r>
        <w:rPr>
          <w:rFonts w:hint="eastAsia" w:ascii="Times New Roman" w:hAnsi="Times New Roman" w:eastAsia="宋体" w:cs="Times New Roman"/>
          <w:sz w:val="24"/>
          <w:szCs w:val="21"/>
        </w:rPr>
        <w:t>、</w:t>
      </w:r>
      <w:r>
        <w:rPr>
          <w:rFonts w:ascii="Times New Roman" w:hAnsi="Times New Roman" w:eastAsia="宋体" w:cs="Times New Roman"/>
          <w:sz w:val="24"/>
          <w:szCs w:val="21"/>
        </w:rPr>
        <w:t>CAN2.0B</w:t>
      </w:r>
      <w:r>
        <w:rPr>
          <w:rFonts w:hint="eastAsia" w:ascii="Times New Roman" w:hAnsi="Times New Roman" w:eastAsia="宋体" w:cs="Times New Roman"/>
          <w:sz w:val="24"/>
          <w:szCs w:val="21"/>
        </w:rPr>
        <w:t>以及CANFD；</w:t>
      </w:r>
    </w:p>
    <w:p>
      <w:pPr>
        <w:numPr>
          <w:ilvl w:val="0"/>
          <w:numId w:val="2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波特率：≥4</w:t>
      </w:r>
      <w:r>
        <w:rPr>
          <w:rFonts w:ascii="Times New Roman" w:hAnsi="Times New Roman" w:eastAsia="宋体" w:cs="Times New Roman"/>
          <w:sz w:val="24"/>
          <w:szCs w:val="21"/>
        </w:rPr>
        <w:t>Mbps</w:t>
      </w:r>
      <w:r>
        <w:rPr>
          <w:rFonts w:hint="eastAsia" w:ascii="Times New Roman" w:hAnsi="Times New Roman" w:eastAsia="宋体" w:cs="Times New Roman"/>
          <w:sz w:val="24"/>
          <w:szCs w:val="21"/>
        </w:rPr>
        <w:t>，可配置；</w:t>
      </w:r>
    </w:p>
    <w:p>
      <w:pPr>
        <w:numPr>
          <w:ilvl w:val="0"/>
          <w:numId w:val="2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w:t>
      </w:r>
      <w:r>
        <w:rPr>
          <w:rFonts w:ascii="Times New Roman" w:hAnsi="Times New Roman" w:eastAsia="宋体" w:cs="Times New Roman"/>
          <w:sz w:val="24"/>
          <w:szCs w:val="21"/>
        </w:rPr>
        <w:t>.dbc</w:t>
      </w:r>
      <w:r>
        <w:rPr>
          <w:rFonts w:hint="eastAsia" w:ascii="Times New Roman" w:hAnsi="Times New Roman" w:eastAsia="宋体" w:cs="Times New Roman"/>
          <w:sz w:val="24"/>
          <w:szCs w:val="21"/>
        </w:rPr>
        <w:t>数据库文件的导入；</w:t>
      </w:r>
    </w:p>
    <w:p>
      <w:pPr>
        <w:numPr>
          <w:ilvl w:val="0"/>
          <w:numId w:val="2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可配置终端电阻。</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3.5.2 LIN通道技术要求</w:t>
      </w:r>
    </w:p>
    <w:p>
      <w:pPr>
        <w:numPr>
          <w:ilvl w:val="0"/>
          <w:numId w:val="24"/>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w:t>
      </w:r>
      <w:r>
        <w:rPr>
          <w:rFonts w:ascii="Times New Roman" w:hAnsi="Times New Roman" w:eastAsia="宋体" w:cs="Times New Roman"/>
          <w:sz w:val="24"/>
          <w:szCs w:val="21"/>
        </w:rPr>
        <w:t>LIN1.3</w:t>
      </w:r>
      <w:r>
        <w:rPr>
          <w:rFonts w:hint="eastAsia" w:ascii="Times New Roman" w:hAnsi="Times New Roman" w:eastAsia="宋体" w:cs="Times New Roman"/>
          <w:sz w:val="24"/>
          <w:szCs w:val="21"/>
        </w:rPr>
        <w:t>、</w:t>
      </w:r>
      <w:r>
        <w:rPr>
          <w:rFonts w:ascii="Times New Roman" w:hAnsi="Times New Roman" w:eastAsia="宋体" w:cs="Times New Roman"/>
          <w:sz w:val="24"/>
          <w:szCs w:val="21"/>
        </w:rPr>
        <w:t>2.0</w:t>
      </w:r>
      <w:r>
        <w:rPr>
          <w:rFonts w:hint="eastAsia" w:ascii="Times New Roman" w:hAnsi="Times New Roman" w:eastAsia="宋体" w:cs="Times New Roman"/>
          <w:sz w:val="24"/>
          <w:szCs w:val="21"/>
        </w:rPr>
        <w:t>、</w:t>
      </w:r>
      <w:r>
        <w:rPr>
          <w:rFonts w:ascii="Times New Roman" w:hAnsi="Times New Roman" w:eastAsia="宋体" w:cs="Times New Roman"/>
          <w:sz w:val="24"/>
          <w:szCs w:val="21"/>
        </w:rPr>
        <w:t>2.1标准协议</w:t>
      </w:r>
      <w:r>
        <w:rPr>
          <w:rFonts w:hint="eastAsia" w:ascii="Times New Roman" w:hAnsi="Times New Roman" w:eastAsia="宋体" w:cs="Times New Roman"/>
          <w:sz w:val="24"/>
          <w:szCs w:val="21"/>
        </w:rPr>
        <w:t>；</w:t>
      </w:r>
    </w:p>
    <w:p>
      <w:pPr>
        <w:numPr>
          <w:ilvl w:val="0"/>
          <w:numId w:val="24"/>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波特率</w:t>
      </w:r>
      <w:r>
        <w:rPr>
          <w:rFonts w:ascii="Times New Roman" w:hAnsi="Times New Roman" w:eastAsia="宋体" w:cs="Times New Roman"/>
          <w:sz w:val="24"/>
          <w:szCs w:val="21"/>
        </w:rPr>
        <w:t xml:space="preserve"> ≥20kbit/s</w:t>
      </w:r>
      <w:r>
        <w:rPr>
          <w:rFonts w:hint="eastAsia" w:ascii="Times New Roman" w:hAnsi="Times New Roman" w:eastAsia="宋体" w:cs="Times New Roman"/>
          <w:sz w:val="24"/>
          <w:szCs w:val="21"/>
        </w:rPr>
        <w:t>，</w:t>
      </w:r>
      <w:r>
        <w:rPr>
          <w:rFonts w:ascii="Times New Roman" w:hAnsi="Times New Roman" w:eastAsia="宋体" w:cs="Times New Roman"/>
          <w:sz w:val="24"/>
          <w:szCs w:val="21"/>
        </w:rPr>
        <w:t>可软件配置</w:t>
      </w:r>
      <w:r>
        <w:rPr>
          <w:rFonts w:hint="eastAsia" w:ascii="Times New Roman" w:hAnsi="Times New Roman" w:eastAsia="宋体" w:cs="Times New Roman"/>
          <w:sz w:val="24"/>
          <w:szCs w:val="21"/>
        </w:rPr>
        <w:t>；</w:t>
      </w:r>
    </w:p>
    <w:p>
      <w:pPr>
        <w:numPr>
          <w:ilvl w:val="0"/>
          <w:numId w:val="24"/>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支持.ldf数据库文件的导入</w:t>
      </w:r>
      <w:r>
        <w:rPr>
          <w:rFonts w:hint="eastAsia" w:ascii="Times New Roman" w:hAnsi="Times New Roman" w:eastAsia="宋体" w:cs="Times New Roman"/>
          <w:sz w:val="24"/>
          <w:szCs w:val="21"/>
        </w:rPr>
        <w:t>；</w:t>
      </w:r>
    </w:p>
    <w:p>
      <w:pPr>
        <w:numPr>
          <w:ilvl w:val="0"/>
          <w:numId w:val="24"/>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支持主从模式。</w:t>
      </w:r>
    </w:p>
    <w:p>
      <w:pPr>
        <w:spacing w:line="360" w:lineRule="auto"/>
        <w:outlineLvl w:val="3"/>
        <w:rPr>
          <w:rFonts w:ascii="Times New Roman" w:hAnsi="Times New Roman" w:eastAsia="宋体" w:cs="Times New Roman"/>
          <w:b/>
          <w:bCs/>
          <w:sz w:val="24"/>
          <w:szCs w:val="24"/>
        </w:rPr>
      </w:pPr>
      <w:bookmarkStart w:id="51" w:name="_Toc36027014"/>
      <w:r>
        <w:rPr>
          <w:rFonts w:hint="eastAsia" w:ascii="Times New Roman" w:hAnsi="Times New Roman" w:eastAsia="宋体" w:cs="Times New Roman"/>
          <w:b/>
          <w:bCs/>
          <w:sz w:val="24"/>
          <w:szCs w:val="24"/>
        </w:rPr>
        <w:t>3.6 ECU供电</w:t>
      </w:r>
      <w:bookmarkEnd w:id="51"/>
      <w:r>
        <w:rPr>
          <w:rFonts w:hint="eastAsia" w:ascii="Times New Roman" w:hAnsi="Times New Roman" w:eastAsia="宋体" w:cs="Times New Roman"/>
          <w:b/>
          <w:bCs/>
          <w:sz w:val="24"/>
          <w:szCs w:val="24"/>
        </w:rPr>
        <w:t>技术要求</w:t>
      </w:r>
    </w:p>
    <w:p>
      <w:pPr>
        <w:spacing w:line="360" w:lineRule="auto"/>
        <w:outlineLvl w:val="4"/>
        <w:rPr>
          <w:rFonts w:ascii="Times New Roman" w:hAnsi="Times New Roman" w:eastAsia="宋体" w:cs="Times New Roman"/>
          <w:sz w:val="24"/>
          <w:szCs w:val="24"/>
        </w:rPr>
      </w:pPr>
      <w:bookmarkStart w:id="52" w:name="_Hlk80452978"/>
      <w:bookmarkStart w:id="53" w:name="_Toc36027019"/>
      <w:bookmarkStart w:id="54" w:name="_Toc529835863"/>
      <w:bookmarkStart w:id="55" w:name="_Toc485309591"/>
      <w:bookmarkStart w:id="56" w:name="_Toc497603326"/>
      <w:r>
        <w:rPr>
          <w:rFonts w:hint="eastAsia" w:ascii="Times New Roman" w:hAnsi="Times New Roman" w:eastAsia="宋体" w:cs="Times New Roman"/>
          <w:sz w:val="24"/>
          <w:szCs w:val="24"/>
        </w:rPr>
        <w:t>3.6.1低压可编程电源1技术要求</w:t>
      </w:r>
    </w:p>
    <w:p>
      <w:pPr>
        <w:numPr>
          <w:ilvl w:val="0"/>
          <w:numId w:val="2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数量：5</w:t>
      </w:r>
    </w:p>
    <w:p>
      <w:pPr>
        <w:numPr>
          <w:ilvl w:val="0"/>
          <w:numId w:val="25"/>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功率范围：≥</w:t>
      </w:r>
      <w:r>
        <w:rPr>
          <w:rFonts w:hint="eastAsia" w:ascii="Times New Roman" w:hAnsi="Times New Roman" w:eastAsia="宋体" w:cs="Times New Roman"/>
          <w:sz w:val="24"/>
          <w:szCs w:val="21"/>
        </w:rPr>
        <w:t>12</w:t>
      </w:r>
      <w:r>
        <w:rPr>
          <w:rFonts w:ascii="Times New Roman" w:hAnsi="Times New Roman" w:eastAsia="宋体" w:cs="Times New Roman"/>
          <w:sz w:val="24"/>
          <w:szCs w:val="21"/>
        </w:rPr>
        <w:t>00W；</w:t>
      </w:r>
    </w:p>
    <w:p>
      <w:pPr>
        <w:numPr>
          <w:ilvl w:val="0"/>
          <w:numId w:val="25"/>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输出电压范围：≥</w:t>
      </w:r>
      <w:r>
        <w:rPr>
          <w:rFonts w:hint="eastAsia" w:ascii="Times New Roman" w:hAnsi="Times New Roman" w:eastAsia="宋体" w:cs="Times New Roman"/>
          <w:sz w:val="24"/>
          <w:szCs w:val="21"/>
        </w:rPr>
        <w:t>8</w:t>
      </w:r>
      <w:r>
        <w:rPr>
          <w:rFonts w:ascii="Times New Roman" w:hAnsi="Times New Roman" w:eastAsia="宋体" w:cs="Times New Roman"/>
          <w:sz w:val="24"/>
          <w:szCs w:val="21"/>
        </w:rPr>
        <w:t>0V；</w:t>
      </w:r>
    </w:p>
    <w:p>
      <w:pPr>
        <w:numPr>
          <w:ilvl w:val="0"/>
          <w:numId w:val="25"/>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输出电流范围：≥</w:t>
      </w:r>
      <w:r>
        <w:rPr>
          <w:rFonts w:hint="eastAsia" w:ascii="Times New Roman" w:hAnsi="Times New Roman" w:eastAsia="宋体" w:cs="Times New Roman"/>
          <w:sz w:val="24"/>
          <w:szCs w:val="21"/>
        </w:rPr>
        <w:t>6</w:t>
      </w:r>
      <w:r>
        <w:rPr>
          <w:rFonts w:ascii="Times New Roman" w:hAnsi="Times New Roman" w:eastAsia="宋体" w:cs="Times New Roman"/>
          <w:sz w:val="24"/>
          <w:szCs w:val="21"/>
        </w:rPr>
        <w:t>0A；</w:t>
      </w:r>
    </w:p>
    <w:p>
      <w:pPr>
        <w:numPr>
          <w:ilvl w:val="0"/>
          <w:numId w:val="2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接口：</w:t>
      </w:r>
      <w:r>
        <w:rPr>
          <w:rFonts w:ascii="Times New Roman" w:hAnsi="Times New Roman" w:eastAsia="宋体" w:cs="Times New Roman"/>
          <w:sz w:val="24"/>
          <w:szCs w:val="21"/>
        </w:rPr>
        <w:t>USB/RS232/CAN/LAN</w:t>
      </w:r>
      <w:r>
        <w:rPr>
          <w:rFonts w:hint="eastAsia" w:ascii="Times New Roman" w:hAnsi="Times New Roman" w:eastAsia="宋体" w:cs="Times New Roman"/>
          <w:sz w:val="24"/>
          <w:szCs w:val="21"/>
        </w:rPr>
        <w:t>，</w:t>
      </w:r>
      <w:r>
        <w:rPr>
          <w:rFonts w:ascii="Times New Roman" w:hAnsi="Times New Roman" w:eastAsia="宋体" w:cs="Times New Roman"/>
          <w:sz w:val="24"/>
          <w:szCs w:val="21"/>
        </w:rPr>
        <w:t>可由上位机软件控制电源输出；</w:t>
      </w:r>
    </w:p>
    <w:p>
      <w:pPr>
        <w:numPr>
          <w:ilvl w:val="0"/>
          <w:numId w:val="2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精度：</w:t>
      </w:r>
      <w:r>
        <w:rPr>
          <w:rFonts w:ascii="Times New Roman" w:hAnsi="Times New Roman" w:eastAsia="宋体" w:cs="Times New Roman"/>
          <w:sz w:val="24"/>
          <w:szCs w:val="21"/>
        </w:rPr>
        <w:t>≤0.0</w:t>
      </w:r>
      <w:r>
        <w:rPr>
          <w:rFonts w:hint="eastAsia" w:ascii="Times New Roman" w:hAnsi="Times New Roman" w:eastAsia="宋体" w:cs="Times New Roman"/>
          <w:sz w:val="24"/>
          <w:szCs w:val="21"/>
        </w:rPr>
        <w:t>2</w:t>
      </w:r>
      <w:r>
        <w:rPr>
          <w:rFonts w:ascii="Times New Roman" w:hAnsi="Times New Roman" w:eastAsia="宋体" w:cs="Times New Roman"/>
          <w:sz w:val="24"/>
          <w:szCs w:val="21"/>
        </w:rPr>
        <w:t>%+30mV ≤0.</w:t>
      </w:r>
      <w:r>
        <w:rPr>
          <w:rFonts w:hint="eastAsia" w:ascii="Times New Roman" w:hAnsi="Times New Roman" w:eastAsia="宋体" w:cs="Times New Roman"/>
          <w:sz w:val="24"/>
          <w:szCs w:val="21"/>
        </w:rPr>
        <w:t>1</w:t>
      </w:r>
      <w:r>
        <w:rPr>
          <w:rFonts w:ascii="Times New Roman" w:hAnsi="Times New Roman" w:eastAsia="宋体" w:cs="Times New Roman"/>
          <w:sz w:val="24"/>
          <w:szCs w:val="21"/>
        </w:rPr>
        <w:t>%+</w:t>
      </w:r>
      <w:r>
        <w:rPr>
          <w:rFonts w:ascii="Arial" w:hAnsi="Arial" w:cs="Arial"/>
          <w:color w:val="333333"/>
          <w:sz w:val="18"/>
          <w:szCs w:val="18"/>
          <w:shd w:val="clear" w:color="auto" w:fill="EFEFEF"/>
        </w:rPr>
        <w:t xml:space="preserve"> </w:t>
      </w:r>
      <w:r>
        <w:rPr>
          <w:rFonts w:ascii="Times New Roman" w:hAnsi="Times New Roman" w:eastAsia="宋体" w:cs="Times New Roman"/>
          <w:sz w:val="24"/>
          <w:szCs w:val="21"/>
        </w:rPr>
        <w:t>0.1%FS</w:t>
      </w:r>
      <w:r>
        <w:rPr>
          <w:rFonts w:hint="eastAsia" w:ascii="Times New Roman" w:hAnsi="Times New Roman" w:eastAsia="宋体" w:cs="Times New Roman"/>
          <w:sz w:val="24"/>
          <w:szCs w:val="21"/>
        </w:rPr>
        <w:t>；</w:t>
      </w:r>
    </w:p>
    <w:p>
      <w:pPr>
        <w:numPr>
          <w:ilvl w:val="0"/>
          <w:numId w:val="2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支持各种模式（CV/CC/CP），边沿独立设定，上升和下降时间可调；</w:t>
      </w:r>
    </w:p>
    <w:p>
      <w:pPr>
        <w:numPr>
          <w:ilvl w:val="0"/>
          <w:numId w:val="25"/>
        </w:numPr>
        <w:spacing w:line="360" w:lineRule="auto"/>
      </w:pPr>
      <w:r>
        <w:rPr>
          <w:rFonts w:ascii="Times New Roman" w:hAnsi="Times New Roman" w:eastAsia="宋体" w:cs="Times New Roman"/>
          <w:sz w:val="24"/>
          <w:szCs w:val="21"/>
        </w:rPr>
        <w:t>具备自我保护功能。</w:t>
      </w:r>
    </w:p>
    <w:bookmarkEnd w:id="52"/>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3.6.2 低压可编程电源2技术要求</w:t>
      </w:r>
      <w:bookmarkEnd w:id="53"/>
    </w:p>
    <w:p>
      <w:pPr>
        <w:numPr>
          <w:ilvl w:val="0"/>
          <w:numId w:val="2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数量：1</w:t>
      </w:r>
    </w:p>
    <w:p>
      <w:pPr>
        <w:numPr>
          <w:ilvl w:val="0"/>
          <w:numId w:val="25"/>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功率范围：≥</w:t>
      </w:r>
      <w:r>
        <w:rPr>
          <w:rFonts w:hint="eastAsia" w:ascii="Times New Roman" w:hAnsi="Times New Roman" w:eastAsia="宋体" w:cs="Times New Roman"/>
          <w:sz w:val="24"/>
          <w:szCs w:val="21"/>
          <w:lang w:val="en-US" w:eastAsia="zh-CN"/>
        </w:rPr>
        <w:t>25</w:t>
      </w:r>
      <w:r>
        <w:rPr>
          <w:rFonts w:ascii="Times New Roman" w:hAnsi="Times New Roman" w:eastAsia="宋体" w:cs="Times New Roman"/>
          <w:sz w:val="24"/>
          <w:szCs w:val="21"/>
        </w:rPr>
        <w:t>00W；</w:t>
      </w:r>
    </w:p>
    <w:p>
      <w:pPr>
        <w:numPr>
          <w:ilvl w:val="0"/>
          <w:numId w:val="25"/>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输出电压范围：≥</w:t>
      </w:r>
      <w:r>
        <w:rPr>
          <w:rFonts w:hint="eastAsia" w:ascii="Times New Roman" w:hAnsi="Times New Roman" w:eastAsia="宋体" w:cs="Times New Roman"/>
          <w:sz w:val="24"/>
          <w:szCs w:val="21"/>
        </w:rPr>
        <w:t>8</w:t>
      </w:r>
      <w:r>
        <w:rPr>
          <w:rFonts w:ascii="Times New Roman" w:hAnsi="Times New Roman" w:eastAsia="宋体" w:cs="Times New Roman"/>
          <w:sz w:val="24"/>
          <w:szCs w:val="21"/>
        </w:rPr>
        <w:t>0V；</w:t>
      </w:r>
    </w:p>
    <w:p>
      <w:pPr>
        <w:numPr>
          <w:ilvl w:val="0"/>
          <w:numId w:val="25"/>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输出电流范围：</w:t>
      </w:r>
      <w:r>
        <w:rPr>
          <w:rFonts w:hint="eastAsia" w:ascii="Times New Roman" w:hAnsi="Times New Roman" w:eastAsia="宋体" w:cs="Times New Roman"/>
          <w:sz w:val="24"/>
          <w:szCs w:val="21"/>
        </w:rPr>
        <w:t>±8</w:t>
      </w:r>
      <w:r>
        <w:rPr>
          <w:rFonts w:ascii="Times New Roman" w:hAnsi="Times New Roman" w:eastAsia="宋体" w:cs="Times New Roman"/>
          <w:sz w:val="24"/>
          <w:szCs w:val="21"/>
        </w:rPr>
        <w:t>0A；</w:t>
      </w:r>
    </w:p>
    <w:p>
      <w:pPr>
        <w:numPr>
          <w:ilvl w:val="0"/>
          <w:numId w:val="2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接口：</w:t>
      </w:r>
      <w:r>
        <w:rPr>
          <w:rFonts w:ascii="Times New Roman" w:hAnsi="Times New Roman" w:eastAsia="宋体" w:cs="Times New Roman"/>
          <w:sz w:val="24"/>
          <w:szCs w:val="21"/>
        </w:rPr>
        <w:t>USB/CAN/LAN/数字I/O口</w:t>
      </w:r>
      <w:r>
        <w:rPr>
          <w:rFonts w:hint="eastAsia" w:ascii="Times New Roman" w:hAnsi="Times New Roman" w:eastAsia="宋体" w:cs="Times New Roman"/>
          <w:sz w:val="24"/>
          <w:szCs w:val="21"/>
        </w:rPr>
        <w:t>，</w:t>
      </w:r>
      <w:r>
        <w:rPr>
          <w:rFonts w:ascii="Times New Roman" w:hAnsi="Times New Roman" w:eastAsia="宋体" w:cs="Times New Roman"/>
          <w:sz w:val="24"/>
          <w:szCs w:val="21"/>
        </w:rPr>
        <w:t>可由上位机软件控制电源输出；</w:t>
      </w:r>
    </w:p>
    <w:p>
      <w:pPr>
        <w:numPr>
          <w:ilvl w:val="0"/>
          <w:numId w:val="2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分辨率：</w:t>
      </w:r>
      <w:r>
        <w:rPr>
          <w:rFonts w:ascii="Times New Roman" w:hAnsi="Times New Roman" w:eastAsia="宋体" w:cs="Times New Roman"/>
          <w:sz w:val="24"/>
          <w:szCs w:val="21"/>
        </w:rPr>
        <w:t>1mV/10mA</w:t>
      </w:r>
      <w:r>
        <w:rPr>
          <w:rFonts w:hint="eastAsia" w:ascii="Times New Roman" w:hAnsi="Times New Roman" w:eastAsia="宋体" w:cs="Times New Roman"/>
          <w:sz w:val="24"/>
          <w:szCs w:val="21"/>
        </w:rPr>
        <w:t>；</w:t>
      </w:r>
    </w:p>
    <w:p>
      <w:pPr>
        <w:numPr>
          <w:ilvl w:val="0"/>
          <w:numId w:val="2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精度：</w:t>
      </w:r>
      <w:r>
        <w:rPr>
          <w:rFonts w:ascii="Times New Roman" w:hAnsi="Times New Roman" w:eastAsia="宋体" w:cs="Times New Roman"/>
          <w:sz w:val="24"/>
          <w:szCs w:val="21"/>
        </w:rPr>
        <w:t>≤0.03% + 0.03%FS / ≤0.1% + 0.1%FS</w:t>
      </w:r>
      <w:r>
        <w:rPr>
          <w:rFonts w:hint="eastAsia" w:ascii="Times New Roman" w:hAnsi="Times New Roman" w:eastAsia="宋体" w:cs="Times New Roman"/>
          <w:sz w:val="24"/>
          <w:szCs w:val="21"/>
        </w:rPr>
        <w:t>；</w:t>
      </w:r>
    </w:p>
    <w:p>
      <w:pPr>
        <w:numPr>
          <w:ilvl w:val="0"/>
          <w:numId w:val="25"/>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支持各种模式（CV/CC/CP），边沿独立设定，上升和下降时间可调；</w:t>
      </w:r>
    </w:p>
    <w:p>
      <w:pPr>
        <w:numPr>
          <w:ilvl w:val="0"/>
          <w:numId w:val="25"/>
        </w:numPr>
        <w:spacing w:line="360" w:lineRule="auto"/>
      </w:pPr>
      <w:r>
        <w:rPr>
          <w:rFonts w:ascii="Times New Roman" w:hAnsi="Times New Roman" w:eastAsia="宋体" w:cs="Times New Roman"/>
          <w:sz w:val="24"/>
          <w:szCs w:val="21"/>
        </w:rPr>
        <w:t>具备自我保护功能。</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3.6.3 供电管理板卡</w:t>
      </w:r>
    </w:p>
    <w:p>
      <w:pPr>
        <w:numPr>
          <w:ilvl w:val="0"/>
          <w:numId w:val="2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可以模拟如KL30、KL15等ECU所需的供电；</w:t>
      </w:r>
    </w:p>
    <w:p>
      <w:pPr>
        <w:numPr>
          <w:ilvl w:val="0"/>
          <w:numId w:val="2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支持双电压输入，输出电压可以在两个输入电压之间选择；</w:t>
      </w:r>
    </w:p>
    <w:p>
      <w:pPr>
        <w:numPr>
          <w:ilvl w:val="0"/>
          <w:numId w:val="2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提供至少3个大电流开关输出通道，允许持续电流30A；</w:t>
      </w:r>
    </w:p>
    <w:bookmarkEnd w:id="54"/>
    <w:bookmarkEnd w:id="55"/>
    <w:bookmarkEnd w:id="56"/>
    <w:p>
      <w:pPr>
        <w:spacing w:line="360" w:lineRule="auto"/>
        <w:outlineLvl w:val="3"/>
        <w:rPr>
          <w:rFonts w:ascii="Times New Roman" w:hAnsi="Times New Roman" w:eastAsia="宋体" w:cs="Times New Roman"/>
          <w:b/>
          <w:bCs/>
          <w:sz w:val="24"/>
          <w:szCs w:val="24"/>
        </w:rPr>
      </w:pPr>
      <w:bookmarkStart w:id="57" w:name="_Toc36027020"/>
      <w:r>
        <w:rPr>
          <w:rFonts w:hint="eastAsia" w:ascii="Times New Roman" w:hAnsi="Times New Roman" w:eastAsia="宋体" w:cs="Times New Roman"/>
          <w:b/>
          <w:bCs/>
          <w:sz w:val="24"/>
          <w:szCs w:val="24"/>
        </w:rPr>
        <w:t>3.6故障注入技术要求</w:t>
      </w:r>
      <w:bookmarkEnd w:id="57"/>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3.6.1通用故障注入技术要求</w:t>
      </w:r>
    </w:p>
    <w:p>
      <w:pPr>
        <w:numPr>
          <w:ilvl w:val="0"/>
          <w:numId w:val="27"/>
        </w:numPr>
        <w:spacing w:line="36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支持最大持续电流：</w:t>
      </w:r>
      <w:r>
        <w:rPr>
          <w:rFonts w:hint="eastAsia" w:ascii="Times New Roman" w:hAnsi="Times New Roman" w:eastAsia="宋体" w:cs="Times New Roman"/>
          <w:sz w:val="24"/>
          <w:szCs w:val="21"/>
          <w:lang w:val="en-US" w:eastAsia="zh-CN"/>
        </w:rPr>
        <w:t>8</w:t>
      </w:r>
      <w:r>
        <w:rPr>
          <w:rFonts w:ascii="Times New Roman" w:hAnsi="Times New Roman" w:eastAsia="宋体" w:cs="Times New Roman"/>
          <w:sz w:val="24"/>
          <w:szCs w:val="21"/>
        </w:rPr>
        <w:t>A</w:t>
      </w:r>
      <w:r>
        <w:rPr>
          <w:rFonts w:hint="eastAsia" w:ascii="Times New Roman" w:hAnsi="Times New Roman" w:eastAsia="宋体" w:cs="Times New Roman"/>
          <w:sz w:val="24"/>
          <w:szCs w:val="21"/>
        </w:rPr>
        <w:t>/</w:t>
      </w:r>
      <w:r>
        <w:rPr>
          <w:rFonts w:ascii="Times New Roman" w:hAnsi="Times New Roman" w:eastAsia="宋体" w:cs="Times New Roman"/>
          <w:sz w:val="24"/>
          <w:szCs w:val="21"/>
        </w:rPr>
        <w:t>30V</w:t>
      </w:r>
      <w:r>
        <w:rPr>
          <w:rFonts w:hint="eastAsia" w:ascii="Times New Roman" w:hAnsi="Times New Roman" w:eastAsia="宋体" w:cs="Times New Roman"/>
          <w:sz w:val="24"/>
          <w:szCs w:val="21"/>
        </w:rPr>
        <w:t>。</w:t>
      </w:r>
    </w:p>
    <w:p>
      <w:pPr>
        <w:numPr>
          <w:ilvl w:val="0"/>
          <w:numId w:val="27"/>
        </w:numPr>
        <w:spacing w:line="36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可以实现的故障类型包括：</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①对电源短路；</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②对地短路；</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③开路；</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④除开路外，其它故障形式可以选择是否带负载。</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3.7主机柜技术要求</w:t>
      </w:r>
    </w:p>
    <w:p>
      <w:pPr>
        <w:numPr>
          <w:ilvl w:val="0"/>
          <w:numId w:val="2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 xml:space="preserve">标准19英寸机柜，高度14U； </w:t>
      </w:r>
    </w:p>
    <w:p>
      <w:pPr>
        <w:numPr>
          <w:ilvl w:val="0"/>
          <w:numId w:val="2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 xml:space="preserve">机柜面板布置规矩，横平竖直； </w:t>
      </w:r>
    </w:p>
    <w:p>
      <w:pPr>
        <w:numPr>
          <w:ilvl w:val="0"/>
          <w:numId w:val="2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 xml:space="preserve">机柜内走线规整、符合相关电气接线法规要求； </w:t>
      </w:r>
    </w:p>
    <w:p>
      <w:pPr>
        <w:numPr>
          <w:ilvl w:val="0"/>
          <w:numId w:val="2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 xml:space="preserve">机柜底必须配置牢固灵活的滚轮并可锁止； </w:t>
      </w:r>
    </w:p>
    <w:p>
      <w:pPr>
        <w:numPr>
          <w:ilvl w:val="0"/>
          <w:numId w:val="27"/>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 xml:space="preserve">机柜配备 PDU 单元，实现对设备的交流电源进行控制、分配、保护等功能。机柜PDU 中要求包含急停开关，急停开关要求有单机工作和联机工作两种工作模式； </w:t>
      </w:r>
    </w:p>
    <w:p>
      <w:pPr>
        <w:numPr>
          <w:ilvl w:val="0"/>
          <w:numId w:val="27"/>
        </w:numPr>
        <w:spacing w:line="360" w:lineRule="auto"/>
      </w:pPr>
      <w:r>
        <w:rPr>
          <w:rFonts w:hint="eastAsia" w:ascii="Times New Roman" w:hAnsi="Times New Roman" w:eastAsia="宋体" w:cs="Times New Roman"/>
          <w:sz w:val="24"/>
          <w:szCs w:val="21"/>
        </w:rPr>
        <w:t>根据环境温度，需考虑机柜的散热性； 机柜绝缘等级需满足Ⅲ类设备绝缘。</w:t>
      </w:r>
    </w:p>
    <w:p>
      <w:pPr>
        <w:spacing w:line="360" w:lineRule="auto"/>
        <w:outlineLvl w:val="3"/>
        <w:rPr>
          <w:rFonts w:ascii="Times New Roman" w:hAnsi="Times New Roman" w:eastAsia="宋体" w:cs="Times New Roman"/>
          <w:b/>
          <w:bCs/>
          <w:sz w:val="24"/>
          <w:szCs w:val="24"/>
        </w:rPr>
      </w:pPr>
      <w:bookmarkStart w:id="58" w:name="_Toc36027024"/>
      <w:r>
        <w:rPr>
          <w:rFonts w:hint="eastAsia" w:ascii="Times New Roman" w:hAnsi="Times New Roman" w:eastAsia="宋体" w:cs="Times New Roman"/>
          <w:b/>
          <w:bCs/>
          <w:sz w:val="24"/>
          <w:szCs w:val="24"/>
        </w:rPr>
        <w:t>3.8设备接插件及工具要求</w:t>
      </w:r>
      <w:bookmarkEnd w:id="58"/>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每个接插件</w:t>
      </w:r>
      <w:r>
        <w:rPr>
          <w:rFonts w:ascii="Times New Roman" w:hAnsi="Times New Roman" w:eastAsia="宋体" w:cs="Times New Roman"/>
          <w:sz w:val="24"/>
          <w:szCs w:val="21"/>
        </w:rPr>
        <w:t>90PIN</w:t>
      </w:r>
      <w:r>
        <w:rPr>
          <w:rFonts w:hint="eastAsia" w:ascii="Times New Roman" w:hAnsi="Times New Roman" w:eastAsia="宋体" w:cs="Times New Roman"/>
          <w:sz w:val="24"/>
          <w:szCs w:val="21"/>
        </w:rPr>
        <w:t>，最大持续电流≥</w:t>
      </w:r>
      <w:r>
        <w:rPr>
          <w:rFonts w:ascii="Times New Roman" w:hAnsi="Times New Roman" w:eastAsia="宋体" w:cs="Times New Roman"/>
          <w:sz w:val="24"/>
          <w:szCs w:val="21"/>
        </w:rPr>
        <w:t>8A</w:t>
      </w:r>
      <w:r>
        <w:rPr>
          <w:rFonts w:hint="eastAsia" w:ascii="Times New Roman" w:hAnsi="Times New Roman" w:eastAsia="宋体" w:cs="Times New Roman"/>
          <w:sz w:val="24"/>
          <w:szCs w:val="21"/>
        </w:rPr>
        <w:t>；</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接触电阻≤</w:t>
      </w:r>
      <w:r>
        <w:rPr>
          <w:rFonts w:ascii="Times New Roman" w:hAnsi="Times New Roman" w:eastAsia="宋体" w:cs="Times New Roman"/>
          <w:sz w:val="24"/>
          <w:szCs w:val="21"/>
        </w:rPr>
        <w:t>10</w:t>
      </w:r>
      <w:r>
        <w:rPr>
          <w:rFonts w:hint="eastAsia" w:ascii="Times New Roman" w:hAnsi="Times New Roman" w:eastAsia="宋体" w:cs="Times New Roman"/>
          <w:sz w:val="24"/>
          <w:szCs w:val="21"/>
        </w:rPr>
        <w:t>毫欧；</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插拔次数≥</w:t>
      </w:r>
      <w:r>
        <w:rPr>
          <w:rFonts w:ascii="Times New Roman" w:hAnsi="Times New Roman" w:eastAsia="宋体" w:cs="Times New Roman"/>
          <w:sz w:val="24"/>
          <w:szCs w:val="21"/>
        </w:rPr>
        <w:t>5000</w:t>
      </w:r>
      <w:r>
        <w:rPr>
          <w:rFonts w:hint="eastAsia" w:ascii="Times New Roman" w:hAnsi="Times New Roman" w:eastAsia="宋体" w:cs="Times New Roman"/>
          <w:sz w:val="24"/>
          <w:szCs w:val="21"/>
        </w:rPr>
        <w:t>次（寿命</w:t>
      </w:r>
      <w:r>
        <w:rPr>
          <w:rFonts w:ascii="Times New Roman" w:hAnsi="Times New Roman" w:eastAsia="宋体" w:cs="Times New Roman"/>
          <w:sz w:val="24"/>
          <w:szCs w:val="21"/>
        </w:rPr>
        <w:t>5000</w:t>
      </w:r>
      <w:r>
        <w:rPr>
          <w:rFonts w:hint="eastAsia" w:ascii="Times New Roman" w:hAnsi="Times New Roman" w:eastAsia="宋体" w:cs="Times New Roman"/>
          <w:sz w:val="24"/>
          <w:szCs w:val="21"/>
        </w:rPr>
        <w:t>次的概念指的是</w:t>
      </w:r>
      <w:r>
        <w:rPr>
          <w:rFonts w:ascii="Times New Roman" w:hAnsi="Times New Roman" w:eastAsia="宋体" w:cs="Times New Roman"/>
          <w:sz w:val="24"/>
          <w:szCs w:val="21"/>
        </w:rPr>
        <w:t>5000</w:t>
      </w:r>
      <w:r>
        <w:rPr>
          <w:rFonts w:hint="eastAsia" w:ascii="Times New Roman" w:hAnsi="Times New Roman" w:eastAsia="宋体" w:cs="Times New Roman"/>
          <w:sz w:val="24"/>
          <w:szCs w:val="21"/>
        </w:rPr>
        <w:t>次以后接触电阻不能超过初始接触电阻的</w:t>
      </w:r>
      <w:r>
        <w:rPr>
          <w:rFonts w:ascii="Times New Roman" w:hAnsi="Times New Roman" w:eastAsia="宋体" w:cs="Times New Roman"/>
          <w:sz w:val="24"/>
          <w:szCs w:val="21"/>
        </w:rPr>
        <w:t>3</w:t>
      </w:r>
      <w:r>
        <w:rPr>
          <w:rFonts w:hint="eastAsia" w:ascii="Times New Roman" w:hAnsi="Times New Roman" w:eastAsia="宋体" w:cs="Times New Roman"/>
          <w:sz w:val="24"/>
          <w:szCs w:val="21"/>
        </w:rPr>
        <w:t>倍）；</w:t>
      </w:r>
    </w:p>
    <w:p>
      <w:pPr>
        <w:numPr>
          <w:ilvl w:val="0"/>
          <w:numId w:val="28"/>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需提供相关连接器参数能力证明材料</w:t>
      </w:r>
      <w:r>
        <w:rPr>
          <w:rFonts w:hint="eastAsia" w:ascii="Times New Roman" w:hAnsi="Times New Roman" w:eastAsia="宋体" w:cs="Times New Roman"/>
          <w:sz w:val="24"/>
          <w:szCs w:val="21"/>
        </w:rPr>
        <w:t>；</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接插件数量应满足项目实际使用需求；</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每个台架需提供两套机柜对接端线束接插件，方便后期扩展；</w:t>
      </w:r>
    </w:p>
    <w:p>
      <w:pPr>
        <w:numPr>
          <w:ilvl w:val="0"/>
          <w:numId w:val="28"/>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需配置与连接器配套的专用压针与</w:t>
      </w:r>
      <w:r>
        <w:rPr>
          <w:rFonts w:hint="eastAsia" w:ascii="Times New Roman" w:hAnsi="Times New Roman" w:eastAsia="宋体" w:cs="Times New Roman"/>
          <w:sz w:val="24"/>
          <w:szCs w:val="21"/>
        </w:rPr>
        <w:t>退针</w:t>
      </w:r>
      <w:r>
        <w:rPr>
          <w:rFonts w:ascii="Times New Roman" w:hAnsi="Times New Roman" w:eastAsia="宋体" w:cs="Times New Roman"/>
          <w:sz w:val="24"/>
          <w:szCs w:val="21"/>
        </w:rPr>
        <w:t>工具一套。</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3.9电机对拧台架要求</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3.9.1 负载电机要求</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额定扭矩≥</w:t>
      </w:r>
      <w:r>
        <w:rPr>
          <w:rFonts w:ascii="Times New Roman" w:hAnsi="Times New Roman" w:eastAsia="宋体" w:cs="Times New Roman"/>
          <w:sz w:val="24"/>
          <w:szCs w:val="21"/>
        </w:rPr>
        <w:t>8Nm</w:t>
      </w:r>
      <w:r>
        <w:rPr>
          <w:rFonts w:hint="eastAsia" w:ascii="Times New Roman" w:hAnsi="Times New Roman" w:eastAsia="宋体" w:cs="Times New Roman"/>
          <w:sz w:val="24"/>
          <w:szCs w:val="21"/>
        </w:rPr>
        <w:t>；</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最大扭矩≥1</w:t>
      </w:r>
      <w:r>
        <w:rPr>
          <w:rFonts w:ascii="Times New Roman" w:hAnsi="Times New Roman" w:eastAsia="宋体" w:cs="Times New Roman"/>
          <w:sz w:val="24"/>
          <w:szCs w:val="21"/>
        </w:rPr>
        <w:t>0Nm</w:t>
      </w:r>
      <w:r>
        <w:rPr>
          <w:rFonts w:hint="eastAsia" w:ascii="Times New Roman" w:hAnsi="Times New Roman" w:eastAsia="宋体" w:cs="Times New Roman"/>
          <w:sz w:val="24"/>
          <w:szCs w:val="21"/>
        </w:rPr>
        <w:t>；</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额定转速≥</w:t>
      </w:r>
      <w:r>
        <w:rPr>
          <w:rFonts w:ascii="Times New Roman" w:hAnsi="Times New Roman" w:eastAsia="宋体" w:cs="Times New Roman"/>
          <w:sz w:val="24"/>
          <w:szCs w:val="21"/>
        </w:rPr>
        <w:t>3000rpm</w:t>
      </w:r>
      <w:r>
        <w:rPr>
          <w:rFonts w:hint="eastAsia" w:ascii="Times New Roman" w:hAnsi="Times New Roman" w:eastAsia="宋体" w:cs="Times New Roman"/>
          <w:sz w:val="24"/>
          <w:szCs w:val="21"/>
        </w:rPr>
        <w:t>；</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支持扭矩控制和转角控制；</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支持CANopen、</w:t>
      </w:r>
      <w:r>
        <w:rPr>
          <w:rFonts w:ascii="Times New Roman" w:hAnsi="Times New Roman" w:eastAsia="宋体" w:cs="Times New Roman"/>
          <w:sz w:val="24"/>
          <w:szCs w:val="21"/>
        </w:rPr>
        <w:t>ethercat</w:t>
      </w:r>
      <w:r>
        <w:rPr>
          <w:rFonts w:hint="eastAsia" w:ascii="Times New Roman" w:hAnsi="Times New Roman" w:eastAsia="宋体" w:cs="Times New Roman"/>
          <w:sz w:val="24"/>
          <w:szCs w:val="21"/>
        </w:rPr>
        <w:t>协议；</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支持位置输出。</w:t>
      </w:r>
    </w:p>
    <w:p>
      <w:pPr>
        <w:spacing w:line="360" w:lineRule="auto"/>
        <w:outlineLvl w:val="4"/>
        <w:rPr>
          <w:rFonts w:ascii="Times New Roman" w:hAnsi="Times New Roman" w:eastAsia="宋体" w:cs="Times New Roman"/>
          <w:sz w:val="24"/>
          <w:szCs w:val="24"/>
        </w:rPr>
      </w:pPr>
      <w:r>
        <w:rPr>
          <w:rFonts w:hint="eastAsia" w:ascii="Times New Roman" w:hAnsi="Times New Roman" w:eastAsia="宋体" w:cs="Times New Roman"/>
          <w:sz w:val="24"/>
          <w:szCs w:val="24"/>
        </w:rPr>
        <w:t>3.9.2 扭矩传感器要求</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最大扭矩≥</w:t>
      </w:r>
      <w:r>
        <w:rPr>
          <w:rFonts w:ascii="Times New Roman" w:hAnsi="Times New Roman" w:eastAsia="宋体" w:cs="Times New Roman"/>
          <w:sz w:val="24"/>
          <w:szCs w:val="21"/>
        </w:rPr>
        <w:t>10Nm</w:t>
      </w:r>
    </w:p>
    <w:p>
      <w:pPr>
        <w:numPr>
          <w:ilvl w:val="0"/>
          <w:numId w:val="28"/>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最大转速≥</w:t>
      </w:r>
      <w:r>
        <w:rPr>
          <w:rFonts w:ascii="Times New Roman" w:hAnsi="Times New Roman" w:eastAsia="宋体" w:cs="Times New Roman"/>
          <w:sz w:val="24"/>
          <w:szCs w:val="21"/>
        </w:rPr>
        <w:t>3000rpm</w:t>
      </w:r>
    </w:p>
    <w:p>
      <w:pPr>
        <w:numPr>
          <w:ilvl w:val="0"/>
          <w:numId w:val="28"/>
        </w:numPr>
        <w:spacing w:line="360" w:lineRule="auto"/>
      </w:pPr>
      <w:r>
        <w:rPr>
          <w:rFonts w:hint="eastAsia" w:ascii="Times New Roman" w:hAnsi="Times New Roman" w:eastAsia="宋体" w:cs="Times New Roman"/>
          <w:sz w:val="24"/>
          <w:szCs w:val="21"/>
        </w:rPr>
        <w:t>精度≥ 0</w:t>
      </w:r>
      <w:r>
        <w:rPr>
          <w:rFonts w:ascii="Times New Roman" w:hAnsi="Times New Roman" w:eastAsia="宋体" w:cs="Times New Roman"/>
          <w:sz w:val="24"/>
          <w:szCs w:val="21"/>
        </w:rPr>
        <w:t>.1%</w:t>
      </w:r>
    </w:p>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4 软件平台技术要求</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4.1试验管理软件要求</w:t>
      </w:r>
    </w:p>
    <w:p>
      <w:pPr>
        <w:numPr>
          <w:ilvl w:val="2"/>
          <w:numId w:val="0"/>
        </w:numPr>
        <w:tabs>
          <w:tab w:val="left" w:pos="624"/>
        </w:tabs>
        <w:spacing w:line="360" w:lineRule="auto"/>
        <w:outlineLvl w:val="4"/>
        <w:rPr>
          <w:rFonts w:ascii="Times New Roman" w:hAnsi="Times New Roman" w:eastAsia="宋体" w:cs="Times New Roman"/>
          <w:sz w:val="24"/>
          <w:szCs w:val="21"/>
        </w:rPr>
      </w:pPr>
      <w:r>
        <w:rPr>
          <w:rFonts w:hint="eastAsia" w:ascii="Times New Roman" w:hAnsi="Times New Roman" w:eastAsia="宋体" w:cs="Times New Roman"/>
          <w:sz w:val="24"/>
          <w:szCs w:val="21"/>
        </w:rPr>
        <w:t>4.1.1工程配置要求</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支持管理实时仿真机中所有硬件板卡的配置和接口集成；</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支持CAN、CANFD、LIN、车载以太网总线报文数据库文件的导入及管理；</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网络模型可以支持：FastDDS、LDF、Socket-Client、Socket-Server、CAN Codec，SOME/IP等；</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支持基于</w:t>
      </w:r>
      <w:r>
        <w:rPr>
          <w:rFonts w:ascii="Times New Roman" w:hAnsi="Times New Roman" w:eastAsia="宋体" w:cs="Times New Roman"/>
          <w:sz w:val="24"/>
          <w:szCs w:val="21"/>
        </w:rPr>
        <w:t>UDP</w:t>
      </w:r>
      <w:r>
        <w:rPr>
          <w:rFonts w:hint="eastAsia" w:ascii="Times New Roman" w:hAnsi="Times New Roman" w:eastAsia="宋体" w:cs="Times New Roman"/>
          <w:sz w:val="24"/>
          <w:szCs w:val="21"/>
        </w:rPr>
        <w:t>、</w:t>
      </w:r>
      <w:r>
        <w:rPr>
          <w:rFonts w:ascii="Times New Roman" w:hAnsi="Times New Roman" w:eastAsia="宋体" w:cs="Times New Roman"/>
          <w:sz w:val="24"/>
          <w:szCs w:val="21"/>
        </w:rPr>
        <w:t>TCP</w:t>
      </w:r>
      <w:r>
        <w:rPr>
          <w:rFonts w:hint="eastAsia" w:ascii="Times New Roman" w:hAnsi="Times New Roman" w:eastAsia="宋体" w:cs="Times New Roman"/>
          <w:sz w:val="24"/>
          <w:szCs w:val="21"/>
        </w:rPr>
        <w:t>与SOME/IP</w:t>
      </w:r>
      <w:r>
        <w:rPr>
          <w:rFonts w:ascii="Times New Roman" w:hAnsi="Times New Roman" w:eastAsia="宋体" w:cs="Times New Roman"/>
          <w:sz w:val="24"/>
          <w:szCs w:val="21"/>
        </w:rPr>
        <w:t>协议的标准以太网通信</w:t>
      </w:r>
      <w:r>
        <w:rPr>
          <w:rFonts w:hint="eastAsia" w:ascii="Times New Roman" w:hAnsi="Times New Roman" w:eastAsia="宋体" w:cs="Times New Roman"/>
          <w:sz w:val="24"/>
          <w:szCs w:val="21"/>
        </w:rPr>
        <w:t>；</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支持导入CAN报文的LiveCounter和Checksum的算法文件；</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支持simulink模型、FMU模型文件的导入及管理，支持集成多个模型，并可手动将多个模型分配到不同CPU核上运行；</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支持模型信号与硬件通道、总线报文信号的映射配置；</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提供模型文件、总线数据库文件的替换功能，无需先删除再导入；</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★在重新导入或替换模型和总线数据库文件后，映射关系可以自动恢复，无需再手动添加；</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★支持手动选定多个变量进行批量映射操作；</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支持模型参数修改和保存，根据不同待测车型，管理、设定相应参数；</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支持实时记录数据，支持*.mat 、*.csv 等文件格式；</w:t>
      </w:r>
    </w:p>
    <w:p>
      <w:pPr>
        <w:numPr>
          <w:ilvl w:val="2"/>
          <w:numId w:val="0"/>
        </w:numPr>
        <w:tabs>
          <w:tab w:val="left" w:pos="624"/>
        </w:tabs>
        <w:spacing w:line="360" w:lineRule="auto"/>
        <w:outlineLvl w:val="4"/>
        <w:rPr>
          <w:rFonts w:ascii="Times New Roman" w:hAnsi="Times New Roman" w:eastAsia="宋体" w:cs="Times New Roman"/>
          <w:sz w:val="24"/>
          <w:szCs w:val="21"/>
        </w:rPr>
      </w:pPr>
      <w:r>
        <w:rPr>
          <w:rFonts w:hint="eastAsia" w:ascii="Times New Roman" w:hAnsi="Times New Roman" w:eastAsia="宋体" w:cs="Times New Roman"/>
          <w:sz w:val="24"/>
          <w:szCs w:val="21"/>
        </w:rPr>
        <w:t>4.1.2监控界面要求</w:t>
      </w:r>
    </w:p>
    <w:p>
      <w:pPr>
        <w:numPr>
          <w:ilvl w:val="0"/>
          <w:numId w:val="30"/>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支持模型变量、硬件通道信号、总线信号的在线监控以及模型参数的在线调参。</w:t>
      </w:r>
    </w:p>
    <w:p>
      <w:pPr>
        <w:numPr>
          <w:ilvl w:val="0"/>
          <w:numId w:val="30"/>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提供丰富的常用控件库，应包括：</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①数值控制、数值显示、滑动条、旋钮、进度条、状态灯、指针仪表；</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②单选框、复选框、下拉选择开关类控件；</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③拨动开关、复位按钮等档位类控件；</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④多变量同步显示控件，支持1维、2维信号的同步显示；</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⑤汽车仪表盘、制动踏板、油门踏板等常用汽车控件；</w:t>
      </w:r>
    </w:p>
    <w:p>
      <w:pPr>
        <w:spacing w:line="360" w:lineRule="auto"/>
        <w:ind w:left="420" w:leftChars="200"/>
        <w:rPr>
          <w:rFonts w:ascii="Times New Roman" w:hAnsi="Times New Roman" w:eastAsia="宋体" w:cs="Times New Roman"/>
          <w:sz w:val="24"/>
          <w:szCs w:val="21"/>
        </w:rPr>
      </w:pPr>
      <w:r>
        <w:rPr>
          <w:rFonts w:hint="eastAsia" w:ascii="Times New Roman" w:hAnsi="Times New Roman" w:eastAsia="宋体" w:cs="Times New Roman"/>
          <w:sz w:val="24"/>
          <w:szCs w:val="21"/>
        </w:rPr>
        <w:t>⑥实时波形图显示控件。</w:t>
      </w:r>
    </w:p>
    <w:p>
      <w:pPr>
        <w:numPr>
          <w:ilvl w:val="0"/>
          <w:numId w:val="30"/>
        </w:numPr>
        <w:spacing w:line="36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提供监控数据的实时保存和数据曲线回放功能，数据回放界面应支持以下功能。</w:t>
      </w:r>
    </w:p>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①支持多波形图模式，每个波形图可以配置多个信号；</w:t>
      </w:r>
    </w:p>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②单个波形图支持多Y轴模式；</w:t>
      </w:r>
    </w:p>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kern w:val="0"/>
          <w:sz w:val="24"/>
          <w:szCs w:val="21"/>
        </w:rPr>
        <w:t>③可在图形上添加标尺线，可以观察某个时间点的信号值或者两个时间点之间的信号差值；</w:t>
      </w:r>
    </w:p>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kern w:val="0"/>
          <w:sz w:val="24"/>
          <w:szCs w:val="21"/>
        </w:rPr>
        <w:t>④可以支持放大、缩小等操作。</w:t>
      </w:r>
    </w:p>
    <w:p>
      <w:pPr>
        <w:numPr>
          <w:ilvl w:val="0"/>
          <w:numId w:val="30"/>
        </w:numPr>
        <w:spacing w:line="36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提供控件是否关联变量的检测功能，未关联变量的控件提供适当的提示。</w:t>
      </w:r>
    </w:p>
    <w:p>
      <w:pPr>
        <w:numPr>
          <w:ilvl w:val="0"/>
          <w:numId w:val="30"/>
        </w:numPr>
        <w:spacing w:line="36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控件与模型变量的关联关系在模型重新导入后可以自动恢复，不需要重新进行关联。</w:t>
      </w:r>
    </w:p>
    <w:p>
      <w:pPr>
        <w:numPr>
          <w:ilvl w:val="0"/>
          <w:numId w:val="30"/>
        </w:numPr>
        <w:spacing w:line="36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支持一键定位控件的关联变量。</w:t>
      </w:r>
    </w:p>
    <w:p>
      <w:pPr>
        <w:numPr>
          <w:ilvl w:val="0"/>
          <w:numId w:val="30"/>
        </w:numPr>
        <w:spacing w:line="36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支持提供运行时数值超限报警。</w:t>
      </w:r>
    </w:p>
    <w:p>
      <w:pPr>
        <w:numPr>
          <w:ilvl w:val="0"/>
          <w:numId w:val="30"/>
        </w:numPr>
        <w:spacing w:line="36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支持布局编辑功能，例如等距排布、对齐、控件组合等功能。</w:t>
      </w:r>
    </w:p>
    <w:p>
      <w:pPr>
        <w:numPr>
          <w:ilvl w:val="0"/>
          <w:numId w:val="30"/>
        </w:numPr>
        <w:spacing w:line="36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提供装饰器控件增强布局美化效果，至少包含文本背景、图片背景、背景颜色渐变等效果。</w:t>
      </w:r>
    </w:p>
    <w:p>
      <w:pPr>
        <w:numPr>
          <w:ilvl w:val="2"/>
          <w:numId w:val="0"/>
        </w:numPr>
        <w:tabs>
          <w:tab w:val="left" w:pos="624"/>
        </w:tabs>
        <w:spacing w:line="360" w:lineRule="auto"/>
        <w:outlineLvl w:val="4"/>
        <w:rPr>
          <w:rFonts w:ascii="Times New Roman" w:hAnsi="Times New Roman" w:eastAsia="宋体" w:cs="Times New Roman"/>
          <w:sz w:val="24"/>
          <w:szCs w:val="21"/>
        </w:rPr>
      </w:pPr>
      <w:r>
        <w:rPr>
          <w:rFonts w:hint="eastAsia" w:ascii="Times New Roman" w:hAnsi="Times New Roman" w:eastAsia="宋体" w:cs="Times New Roman"/>
          <w:sz w:val="24"/>
          <w:szCs w:val="21"/>
        </w:rPr>
        <w:t>4.1.3 标定与测量</w:t>
      </w:r>
    </w:p>
    <w:p>
      <w:pPr>
        <w:numPr>
          <w:ilvl w:val="0"/>
          <w:numId w:val="30"/>
        </w:numPr>
        <w:spacing w:line="360" w:lineRule="auto"/>
        <w:ind w:left="0"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支持 CCP on CAN / CANFD</w:t>
      </w:r>
    </w:p>
    <w:p>
      <w:pPr>
        <w:numPr>
          <w:ilvl w:val="0"/>
          <w:numId w:val="30"/>
        </w:numPr>
        <w:spacing w:line="360" w:lineRule="auto"/>
        <w:ind w:left="0"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XCP 传输层支持 on CAN / on CANFD / on ETH</w:t>
      </w:r>
    </w:p>
    <w:p>
      <w:pPr>
        <w:numPr>
          <w:ilvl w:val="0"/>
          <w:numId w:val="30"/>
        </w:numPr>
        <w:spacing w:line="360" w:lineRule="auto"/>
        <w:ind w:left="0"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支持 CCP / XCP 解锁</w:t>
      </w:r>
    </w:p>
    <w:p>
      <w:pPr>
        <w:numPr>
          <w:ilvl w:val="0"/>
          <w:numId w:val="30"/>
        </w:numPr>
        <w:spacing w:line="360" w:lineRule="auto"/>
        <w:ind w:left="0"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支持脚本通过 CCP 刷写</w:t>
      </w:r>
    </w:p>
    <w:p>
      <w:pPr>
        <w:numPr>
          <w:ilvl w:val="0"/>
          <w:numId w:val="30"/>
        </w:numPr>
        <w:spacing w:line="360" w:lineRule="auto"/>
        <w:ind w:left="0"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支持 hex, S19 数据文件</w:t>
      </w:r>
    </w:p>
    <w:p>
      <w:pPr>
        <w:numPr>
          <w:ilvl w:val="0"/>
          <w:numId w:val="30"/>
        </w:numPr>
        <w:spacing w:line="360" w:lineRule="auto"/>
        <w:ind w:left="0"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支持 Polling 模式读取测量量, 周期可灵活配置</w:t>
      </w:r>
    </w:p>
    <w:p>
      <w:pPr>
        <w:numPr>
          <w:ilvl w:val="0"/>
          <w:numId w:val="30"/>
        </w:numPr>
        <w:spacing w:line="360" w:lineRule="auto"/>
        <w:ind w:left="0"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支持通过示波器显示测量数据值</w:t>
      </w:r>
    </w:p>
    <w:p>
      <w:pPr>
        <w:numPr>
          <w:ilvl w:val="2"/>
          <w:numId w:val="0"/>
        </w:numPr>
        <w:tabs>
          <w:tab w:val="left" w:pos="624"/>
        </w:tabs>
        <w:spacing w:line="360" w:lineRule="auto"/>
        <w:outlineLvl w:val="4"/>
        <w:rPr>
          <w:rFonts w:ascii="Times New Roman" w:hAnsi="Times New Roman" w:eastAsia="宋体" w:cs="Times New Roman"/>
          <w:sz w:val="24"/>
          <w:szCs w:val="21"/>
        </w:rPr>
      </w:pPr>
      <w:r>
        <w:rPr>
          <w:rFonts w:hint="eastAsia" w:ascii="Times New Roman" w:hAnsi="Times New Roman" w:eastAsia="宋体" w:cs="Times New Roman"/>
          <w:sz w:val="24"/>
          <w:szCs w:val="21"/>
        </w:rPr>
        <w:t>4.1.4 其他</w:t>
      </w:r>
    </w:p>
    <w:p>
      <w:pPr>
        <w:numPr>
          <w:ilvl w:val="0"/>
          <w:numId w:val="29"/>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在硬件支持的情况下质保期内支持软件免费升级；</w:t>
      </w:r>
    </w:p>
    <w:p>
      <w:pPr>
        <w:numPr>
          <w:ilvl w:val="0"/>
          <w:numId w:val="29"/>
        </w:numPr>
        <w:spacing w:line="360" w:lineRule="auto"/>
      </w:pPr>
      <w:r>
        <w:rPr>
          <w:rFonts w:hint="eastAsia" w:ascii="Times New Roman" w:hAnsi="Times New Roman" w:eastAsia="宋体" w:cs="Times New Roman"/>
          <w:sz w:val="24"/>
          <w:szCs w:val="21"/>
        </w:rPr>
        <w:t>★软件不受License等限制，允许多用户同时使用，具有永久使用权限；</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4.2故障注入软件要求</w:t>
      </w:r>
    </w:p>
    <w:p>
      <w:pPr>
        <w:numPr>
          <w:ilvl w:val="0"/>
          <w:numId w:val="31"/>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可以支持故障注入单元的故障注入配置和手动激活与取消；</w:t>
      </w:r>
    </w:p>
    <w:p>
      <w:pPr>
        <w:numPr>
          <w:ilvl w:val="0"/>
          <w:numId w:val="31"/>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支持以拖拽的方式选取需要配置的通道；</w:t>
      </w:r>
    </w:p>
    <w:p>
      <w:pPr>
        <w:numPr>
          <w:ilvl w:val="0"/>
          <w:numId w:val="31"/>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可以对每个信号通道的故障类型进行设置和激活；</w:t>
      </w:r>
    </w:p>
    <w:p>
      <w:pPr>
        <w:numPr>
          <w:ilvl w:val="0"/>
          <w:numId w:val="31"/>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可以对多个信号通道的故障组合同时进行激活；</w:t>
      </w:r>
    </w:p>
    <w:p>
      <w:pPr>
        <w:numPr>
          <w:ilvl w:val="0"/>
          <w:numId w:val="31"/>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能够导出或读取所有选定通道的故障配置状态；</w:t>
      </w:r>
    </w:p>
    <w:p>
      <w:pPr>
        <w:numPr>
          <w:ilvl w:val="0"/>
          <w:numId w:val="31"/>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能够设置故障激活的持续时间。</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4.3 IO模型生成工具要求</w:t>
      </w:r>
    </w:p>
    <w:p>
      <w:pPr>
        <w:numPr>
          <w:ilvl w:val="0"/>
          <w:numId w:val="32"/>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支持导入HIL系统设计的信号列表，并完成对信号列表的解析，自动调用HIL平台的输入输出硬件接口模块，实现Simulink 硬线IO模型的自动生成，IO模型与硬件接口的自动匹配；</w:t>
      </w:r>
    </w:p>
    <w:p>
      <w:pPr>
        <w:numPr>
          <w:ilvl w:val="0"/>
          <w:numId w:val="32"/>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支持导入CAN总线dbc文件，并完成对dbc的解析，实现普通输入输出CAN IO模型和网关IO模型的自动生成（包含Checksum算法），IO模型与总线接口的自动匹配；</w:t>
      </w:r>
    </w:p>
    <w:p>
      <w:pPr>
        <w:numPr>
          <w:ilvl w:val="0"/>
          <w:numId w:val="32"/>
        </w:num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IO模型需包含输入输出（相对于HIL而言）两大类。并且硬线IO与总线IO独立封装；</w:t>
      </w:r>
    </w:p>
    <w:p>
      <w:pPr>
        <w:numPr>
          <w:ilvl w:val="0"/>
          <w:numId w:val="32"/>
        </w:num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不同ECU的信号独立封装。同一ECU的信号，相同类型的IO信号独立封装；</w:t>
      </w:r>
    </w:p>
    <w:p>
      <w:pPr>
        <w:numPr>
          <w:ilvl w:val="0"/>
          <w:numId w:val="32"/>
        </w:num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IO模型必须外观整洁，内部连线清晰无交叉，模块布置无重叠，大小合理；</w:t>
      </w:r>
    </w:p>
    <w:p>
      <w:pPr>
        <w:numPr>
          <w:ilvl w:val="0"/>
          <w:numId w:val="32"/>
        </w:num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每一个信号线都必须按照信号列表或者总线database中定义的名称进行自动命名，名称至少包含ECU、信号类型、信号名称等信息；</w:t>
      </w:r>
    </w:p>
    <w:p>
      <w:pPr>
        <w:numPr>
          <w:ilvl w:val="0"/>
          <w:numId w:val="32"/>
        </w:num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每个信号都要具备手动设定接口，即传输到硬件端口的值即可来至于前端车辆模型，也可来至于手动输入。针对数字类硬线信号，还必须包含取反模块，实现0/1的快速切换配置。</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4.4自动测试软件要求</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自动测试</w:t>
      </w:r>
      <w:r>
        <w:rPr>
          <w:rFonts w:ascii="Times New Roman" w:hAnsi="Times New Roman" w:eastAsia="宋体" w:cs="Times New Roman"/>
          <w:sz w:val="24"/>
          <w:szCs w:val="24"/>
        </w:rPr>
        <w:t>软件用于编写自动测试序列，并</w:t>
      </w:r>
      <w:r>
        <w:rPr>
          <w:rFonts w:hint="eastAsia" w:ascii="Times New Roman" w:hAnsi="Times New Roman" w:eastAsia="宋体" w:cs="Times New Roman"/>
          <w:sz w:val="24"/>
          <w:szCs w:val="24"/>
        </w:rPr>
        <w:t>基于</w:t>
      </w:r>
      <w:r>
        <w:rPr>
          <w:rFonts w:ascii="Times New Roman" w:hAnsi="Times New Roman" w:eastAsia="宋体" w:cs="Times New Roman"/>
          <w:sz w:val="24"/>
          <w:szCs w:val="24"/>
        </w:rPr>
        <w:t>HIL设备进行自动测试实施，生成测试报告。投标方</w:t>
      </w:r>
      <w:r>
        <w:rPr>
          <w:rFonts w:hint="eastAsia" w:ascii="Times New Roman" w:hAnsi="Times New Roman" w:eastAsia="宋体" w:cs="Times New Roman"/>
          <w:sz w:val="24"/>
          <w:szCs w:val="24"/>
        </w:rPr>
        <w:t>需</w:t>
      </w:r>
      <w:r>
        <w:rPr>
          <w:rFonts w:ascii="Times New Roman" w:hAnsi="Times New Roman" w:eastAsia="宋体" w:cs="Times New Roman"/>
          <w:sz w:val="24"/>
          <w:szCs w:val="24"/>
        </w:rPr>
        <w:t>在方案中</w:t>
      </w:r>
      <w:r>
        <w:rPr>
          <w:rFonts w:hint="eastAsia" w:ascii="Times New Roman" w:hAnsi="Times New Roman" w:eastAsia="宋体" w:cs="Times New Roman"/>
          <w:sz w:val="24"/>
          <w:szCs w:val="24"/>
        </w:rPr>
        <w:t>图文</w:t>
      </w:r>
      <w:r>
        <w:rPr>
          <w:rFonts w:ascii="Times New Roman" w:hAnsi="Times New Roman" w:eastAsia="宋体" w:cs="Times New Roman"/>
          <w:sz w:val="24"/>
          <w:szCs w:val="24"/>
        </w:rPr>
        <w:t>并茂的充分证明</w:t>
      </w:r>
      <w:r>
        <w:rPr>
          <w:rFonts w:hint="eastAsia" w:ascii="Times New Roman" w:hAnsi="Times New Roman" w:eastAsia="宋体" w:cs="Times New Roman"/>
          <w:sz w:val="24"/>
          <w:szCs w:val="24"/>
        </w:rPr>
        <w:t>相关</w:t>
      </w:r>
      <w:r>
        <w:rPr>
          <w:rFonts w:ascii="Times New Roman" w:hAnsi="Times New Roman" w:eastAsia="宋体" w:cs="Times New Roman"/>
          <w:sz w:val="24"/>
          <w:szCs w:val="24"/>
        </w:rPr>
        <w:t>软件功能的实现。</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支持采用拖拽的方式搭建测试序列，并支持脚本语言方式编写复杂逻辑；</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与试验管理软件无缝连接可自动打开试验管理软件进行模型的下载；</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支持调用故障注入设备执行自动测试，可设置注入的故障类型；</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能够自动生成基于XML的HTML和PDF格式的测试报告，并可以重复生成，测试报告的格式可根据需求进行自定制；</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支持CANoe、Matlab、Office、DYNA4、VTD、Trucksim等第三方软件的调用；</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需提供标准的诊断模块库，支持基于SAE J2534协议标准的诊断设备，支持ODX数据库的解析，可基于此模块进行ECU诊断功能的测试；</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支持自定义库的封装，并开放自定义库的接口变量，库同步时不会对序列中引入库的接口变量赋值进行修改；</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支持测试用例离线开发及调试，各种设备都可以分别配置离线和在线执行状态。支持测试用例的静态编译及语法检查，在测试序列执行之前提示语法有错误的序列模块；</w:t>
      </w:r>
    </w:p>
    <w:p>
      <w:pPr>
        <w:numPr>
          <w:ilvl w:val="0"/>
          <w:numId w:val="33"/>
        </w:num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支持逻辑测试用例</w:t>
      </w:r>
      <w:r>
        <w:rPr>
          <w:rFonts w:hint="eastAsia" w:ascii="Times New Roman" w:hAnsi="Times New Roman" w:eastAsia="宋体" w:cs="Times New Roman"/>
          <w:sz w:val="24"/>
          <w:szCs w:val="21"/>
        </w:rPr>
        <w:t>（LTC）</w:t>
      </w:r>
      <w:r>
        <w:rPr>
          <w:rFonts w:ascii="Times New Roman" w:hAnsi="Times New Roman" w:eastAsia="宋体" w:cs="Times New Roman"/>
          <w:sz w:val="24"/>
          <w:szCs w:val="21"/>
        </w:rPr>
        <w:t>和</w:t>
      </w:r>
      <w:r>
        <w:rPr>
          <w:rFonts w:hint="eastAsia" w:ascii="Times New Roman" w:hAnsi="Times New Roman" w:eastAsia="宋体" w:cs="Times New Roman"/>
          <w:sz w:val="24"/>
          <w:szCs w:val="21"/>
        </w:rPr>
        <w:t>具体</w:t>
      </w:r>
      <w:r>
        <w:rPr>
          <w:rFonts w:ascii="Times New Roman" w:hAnsi="Times New Roman" w:eastAsia="宋体" w:cs="Times New Roman"/>
          <w:sz w:val="24"/>
          <w:szCs w:val="21"/>
        </w:rPr>
        <w:t>测试用例</w:t>
      </w:r>
      <w:r>
        <w:rPr>
          <w:rFonts w:hint="eastAsia" w:ascii="Times New Roman" w:hAnsi="Times New Roman" w:eastAsia="宋体" w:cs="Times New Roman"/>
          <w:sz w:val="24"/>
          <w:szCs w:val="21"/>
        </w:rPr>
        <w:t>（CTC）</w:t>
      </w:r>
      <w:r>
        <w:rPr>
          <w:rFonts w:ascii="Times New Roman" w:hAnsi="Times New Roman" w:eastAsia="宋体" w:cs="Times New Roman"/>
          <w:sz w:val="24"/>
          <w:szCs w:val="21"/>
        </w:rPr>
        <w:t>的分离，</w:t>
      </w:r>
      <w:r>
        <w:rPr>
          <w:rFonts w:hint="eastAsia" w:ascii="Times New Roman" w:hAnsi="Times New Roman" w:eastAsia="宋体" w:cs="Times New Roman"/>
          <w:sz w:val="24"/>
          <w:szCs w:val="21"/>
        </w:rPr>
        <w:t>支持</w:t>
      </w:r>
      <w:r>
        <w:rPr>
          <w:rFonts w:ascii="Times New Roman" w:hAnsi="Times New Roman" w:eastAsia="宋体" w:cs="Times New Roman"/>
          <w:sz w:val="24"/>
          <w:szCs w:val="21"/>
        </w:rPr>
        <w:t>测试序列参数化功能，每个序列的变量可通过参数赋值表格进行赋值，从而实现相同逻辑测试用例只编写一次</w:t>
      </w:r>
      <w:r>
        <w:rPr>
          <w:rFonts w:hint="eastAsia" w:ascii="Times New Roman" w:hAnsi="Times New Roman" w:eastAsia="宋体" w:cs="Times New Roman"/>
          <w:sz w:val="24"/>
          <w:szCs w:val="21"/>
        </w:rPr>
        <w:t>。</w:t>
      </w:r>
      <w:r>
        <w:rPr>
          <w:rFonts w:ascii="Times New Roman" w:hAnsi="Times New Roman" w:eastAsia="宋体" w:cs="Times New Roman"/>
          <w:sz w:val="24"/>
          <w:szCs w:val="21"/>
        </w:rPr>
        <w:t>支持由LTC生成CTC过程的脚本编写，可根据自定义需要自动生成参数表。</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支持定制测试计划，可编辑计划所包含的测试用例并支持配置执行次数与执行次序；</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提供基本库，主要包括图形化的逻辑语句，实现如If Else、For、break等控制流程；</w:t>
      </w:r>
    </w:p>
    <w:p>
      <w:pPr>
        <w:numPr>
          <w:ilvl w:val="0"/>
          <w:numId w:val="33"/>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提供测量标定库，支持INCA，CANAPE等标定诊断软件的调用，不需要额外购买其他模块。该模块库需支持测量量的瞬时读取和判断，支持Parameter、Curve、Map、Shared Axis、Value Block等常用标定类型的读写；</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4.5车辆动力学软件要求</w:t>
      </w:r>
    </w:p>
    <w:p>
      <w:pPr>
        <w:numPr>
          <w:ilvl w:val="1"/>
          <w:numId w:val="0"/>
        </w:numPr>
        <w:tabs>
          <w:tab w:val="left" w:pos="454"/>
        </w:tabs>
        <w:spacing w:line="360" w:lineRule="auto"/>
        <w:outlineLvl w:val="4"/>
        <w:rPr>
          <w:rFonts w:ascii="Times New Roman" w:hAnsi="Times New Roman" w:eastAsia="宋体" w:cs="Times New Roman"/>
          <w:sz w:val="24"/>
          <w:szCs w:val="24"/>
        </w:rPr>
      </w:pPr>
      <w:bookmarkStart w:id="59" w:name="_Toc9681"/>
      <w:bookmarkStart w:id="60" w:name="_Toc152279002"/>
      <w:r>
        <w:rPr>
          <w:rFonts w:hint="eastAsia" w:ascii="Times New Roman" w:hAnsi="Times New Roman" w:eastAsia="宋体" w:cs="Times New Roman"/>
          <w:sz w:val="24"/>
          <w:szCs w:val="24"/>
        </w:rPr>
        <w:t>4.5.1车辆模型</w:t>
      </w:r>
      <w:bookmarkEnd w:id="59"/>
      <w:r>
        <w:rPr>
          <w:rFonts w:hint="eastAsia" w:ascii="Times New Roman" w:hAnsi="Times New Roman" w:eastAsia="宋体" w:cs="Times New Roman"/>
          <w:sz w:val="24"/>
          <w:szCs w:val="24"/>
        </w:rPr>
        <w:t>总体要求</w:t>
      </w:r>
      <w:bookmarkEnd w:id="60"/>
    </w:p>
    <w:p>
      <w:pPr>
        <w:pStyle w:val="149"/>
        <w:numPr>
          <w:ilvl w:val="0"/>
          <w:numId w:val="0"/>
        </w:numPr>
        <w:spacing w:line="360" w:lineRule="auto"/>
        <w:ind w:firstLine="480" w:firstLineChars="200"/>
      </w:pPr>
      <w:r>
        <w:rPr>
          <w:rFonts w:hint="eastAsia"/>
        </w:rPr>
        <w:t>1）</w:t>
      </w:r>
      <w:r>
        <w:rPr>
          <w:rFonts w:hint="eastAsia" w:ascii="宋体" w:hAnsi="宋体" w:cs="宋体"/>
        </w:rPr>
        <w:t>★</w:t>
      </w:r>
      <w:r>
        <w:rPr>
          <w:rFonts w:ascii="宋体" w:hAnsi="宋体" w:cs="宋体"/>
          <w:color w:val="000000"/>
        </w:rPr>
        <w:t>采用成熟的商业化模型</w:t>
      </w:r>
      <w:r>
        <w:rPr>
          <w:rFonts w:ascii="宋体" w:hAnsi="宋体" w:cs="宋体"/>
        </w:rPr>
        <w:t>，</w:t>
      </w:r>
      <w:r>
        <w:rPr>
          <w:rFonts w:ascii="宋体" w:hAnsi="宋体" w:cs="宋体"/>
          <w:color w:val="000000"/>
        </w:rPr>
        <w:t>除特殊说明外，均要求有</w:t>
      </w:r>
      <w:r>
        <w:rPr>
          <w:rFonts w:hint="eastAsia" w:ascii="宋体" w:hAnsi="宋体" w:cs="宋体"/>
          <w:color w:val="000000"/>
        </w:rPr>
        <w:t>5</w:t>
      </w:r>
      <w:r>
        <w:rPr>
          <w:rFonts w:ascii="宋体" w:hAnsi="宋体" w:cs="宋体"/>
          <w:color w:val="000000"/>
        </w:rPr>
        <w:t>年以上的版本更新记录。</w:t>
      </w:r>
    </w:p>
    <w:p>
      <w:pPr>
        <w:pStyle w:val="149"/>
        <w:numPr>
          <w:ilvl w:val="0"/>
          <w:numId w:val="0"/>
        </w:numPr>
        <w:spacing w:line="360" w:lineRule="auto"/>
        <w:ind w:firstLine="480" w:firstLineChars="200"/>
      </w:pPr>
      <w:r>
        <w:rPr>
          <w:rFonts w:hint="eastAsia"/>
        </w:rPr>
        <w:t>2）车辆模型应为多体、全参数化、非线性、具有可扩展能力的模型。模型具有开放性，留有Simulink接口，并具有方便的可视化较强的参数化接口。</w:t>
      </w:r>
    </w:p>
    <w:p>
      <w:pPr>
        <w:pStyle w:val="149"/>
        <w:numPr>
          <w:ilvl w:val="0"/>
          <w:numId w:val="0"/>
        </w:numPr>
        <w:spacing w:line="360" w:lineRule="auto"/>
        <w:ind w:firstLine="480" w:firstLineChars="200"/>
      </w:pPr>
      <w:r>
        <w:rPr>
          <w:rFonts w:hint="eastAsia"/>
        </w:rPr>
        <w:t>3）车辆模型应留有大量接口，能够实现和simulink自定义模型的替换和集成，满足不同集成方式的需求。</w:t>
      </w:r>
    </w:p>
    <w:p>
      <w:pPr>
        <w:pStyle w:val="149"/>
        <w:numPr>
          <w:ilvl w:val="0"/>
          <w:numId w:val="0"/>
        </w:numPr>
        <w:spacing w:line="360" w:lineRule="auto"/>
        <w:ind w:firstLine="480" w:firstLineChars="200"/>
      </w:pPr>
      <w:r>
        <w:rPr>
          <w:rFonts w:hint="eastAsia"/>
        </w:rPr>
        <w:t>4）商用车辆模型应支持2轴、3轴</w:t>
      </w:r>
      <w:r>
        <w:t>、4轴及</w:t>
      </w:r>
      <w:r>
        <w:rPr>
          <w:rFonts w:hint="eastAsia"/>
        </w:rPr>
        <w:t>5轴</w:t>
      </w:r>
      <w:r>
        <w:t>车辆模型，且均为多体动力学模型，</w:t>
      </w:r>
      <w:r>
        <w:rPr>
          <w:rFonts w:hint="eastAsia"/>
        </w:rPr>
        <w:t>同时各个轴</w:t>
      </w:r>
      <w:r>
        <w:t>可</w:t>
      </w:r>
      <w:r>
        <w:rPr>
          <w:rFonts w:hint="eastAsia"/>
        </w:rPr>
        <w:t>独立</w:t>
      </w:r>
      <w:r>
        <w:t>配置悬架类型，</w:t>
      </w:r>
      <w:r>
        <w:rPr>
          <w:rFonts w:hint="eastAsia"/>
        </w:rPr>
        <w:t>包括</w:t>
      </w:r>
      <w:r>
        <w:t>独立和非独立悬架</w:t>
      </w:r>
      <w:r>
        <w:rPr>
          <w:rFonts w:hint="eastAsia"/>
        </w:rPr>
        <w:t>，</w:t>
      </w:r>
      <w:r>
        <w:t>此外</w:t>
      </w:r>
      <w:r>
        <w:rPr>
          <w:rFonts w:hint="eastAsia"/>
        </w:rPr>
        <w:t>每个</w:t>
      </w:r>
      <w:r>
        <w:t>轴均支持</w:t>
      </w:r>
      <w:r>
        <w:rPr>
          <w:rFonts w:hint="eastAsia"/>
        </w:rPr>
        <w:t>配置</w:t>
      </w:r>
      <w:r>
        <w:t>独立转向</w:t>
      </w:r>
      <w:r>
        <w:rPr>
          <w:rFonts w:hint="eastAsia"/>
        </w:rPr>
        <w:t>。模型应具有开放性，留有Simulink接口，并具有方便的可视化较强的参数化接口。</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车辆模型应有如下部分组成：</w:t>
      </w:r>
    </w:p>
    <w:p>
      <w:pPr>
        <w:pStyle w:val="149"/>
        <w:numPr>
          <w:ilvl w:val="0"/>
          <w:numId w:val="0"/>
        </w:numPr>
        <w:spacing w:line="360" w:lineRule="auto"/>
        <w:ind w:firstLine="480" w:firstLineChars="200"/>
      </w:pPr>
      <w:r>
        <w:rPr>
          <w:rFonts w:hint="eastAsia"/>
        </w:rPr>
        <w:t>1）车身；</w:t>
      </w:r>
    </w:p>
    <w:p>
      <w:pPr>
        <w:pStyle w:val="149"/>
        <w:numPr>
          <w:ilvl w:val="0"/>
          <w:numId w:val="0"/>
        </w:numPr>
        <w:spacing w:line="360" w:lineRule="auto"/>
        <w:ind w:firstLine="480" w:firstLineChars="200"/>
      </w:pPr>
      <w:r>
        <w:rPr>
          <w:rFonts w:hint="eastAsia"/>
        </w:rPr>
        <w:t>2）</w:t>
      </w:r>
      <w:r>
        <w:t>3D空气动力学</w:t>
      </w:r>
      <w:r>
        <w:rPr>
          <w:rFonts w:hint="eastAsia"/>
        </w:rPr>
        <w:t>；</w:t>
      </w:r>
    </w:p>
    <w:p>
      <w:pPr>
        <w:pStyle w:val="149"/>
        <w:numPr>
          <w:ilvl w:val="0"/>
          <w:numId w:val="0"/>
        </w:numPr>
        <w:spacing w:line="360" w:lineRule="auto"/>
        <w:ind w:firstLine="480" w:firstLineChars="200"/>
      </w:pPr>
      <w:r>
        <w:rPr>
          <w:rFonts w:hint="eastAsia"/>
        </w:rPr>
        <w:t>3）悬架系统；</w:t>
      </w:r>
    </w:p>
    <w:p>
      <w:pPr>
        <w:pStyle w:val="149"/>
        <w:numPr>
          <w:ilvl w:val="0"/>
          <w:numId w:val="0"/>
        </w:numPr>
        <w:spacing w:line="360" w:lineRule="auto"/>
        <w:ind w:firstLine="480" w:firstLineChars="200"/>
      </w:pPr>
      <w:r>
        <w:rPr>
          <w:rFonts w:hint="eastAsia"/>
        </w:rPr>
        <w:t>4）转向系统；</w:t>
      </w:r>
    </w:p>
    <w:p>
      <w:pPr>
        <w:pStyle w:val="149"/>
        <w:numPr>
          <w:ilvl w:val="0"/>
          <w:numId w:val="0"/>
        </w:numPr>
        <w:spacing w:line="360" w:lineRule="auto"/>
        <w:ind w:firstLine="480" w:firstLineChars="200"/>
      </w:pPr>
      <w:r>
        <w:rPr>
          <w:rFonts w:hint="eastAsia"/>
        </w:rPr>
        <w:t>5）制动系统；</w:t>
      </w:r>
    </w:p>
    <w:p>
      <w:pPr>
        <w:pStyle w:val="149"/>
        <w:numPr>
          <w:ilvl w:val="0"/>
          <w:numId w:val="0"/>
        </w:numPr>
        <w:spacing w:line="360" w:lineRule="auto"/>
        <w:ind w:firstLine="480" w:firstLineChars="200"/>
      </w:pPr>
      <w:r>
        <w:rPr>
          <w:rFonts w:hint="eastAsia"/>
        </w:rPr>
        <w:t>6）动力传动系统；</w:t>
      </w:r>
    </w:p>
    <w:p>
      <w:pPr>
        <w:pStyle w:val="149"/>
        <w:numPr>
          <w:ilvl w:val="0"/>
          <w:numId w:val="0"/>
        </w:numPr>
        <w:spacing w:line="360" w:lineRule="auto"/>
        <w:ind w:firstLine="480" w:firstLineChars="200"/>
      </w:pPr>
      <w:r>
        <w:rPr>
          <w:rFonts w:hint="eastAsia"/>
        </w:rPr>
        <w:t>7）轮胎</w:t>
      </w:r>
      <w:bookmarkStart w:id="61" w:name="_Toc152279003"/>
      <w:r>
        <w:rPr>
          <w:rFonts w:hint="eastAsia"/>
        </w:rPr>
        <w:t>。</w:t>
      </w:r>
    </w:p>
    <w:p>
      <w:pPr>
        <w:pStyle w:val="150"/>
        <w:numPr>
          <w:ilvl w:val="0"/>
          <w:numId w:val="0"/>
        </w:numPr>
        <w:ind w:left="850" w:hanging="850"/>
        <w:outlineLvl w:val="5"/>
      </w:pPr>
      <w:r>
        <w:rPr>
          <w:rFonts w:hint="eastAsia"/>
        </w:rPr>
        <w:t>4.5.1.1车身系统模型和3D空气动力学要求</w:t>
      </w:r>
      <w:bookmarkEnd w:id="61"/>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车身系统模型坐标系应符合国际车辆坐标系定义，车体自由度应包括：</w:t>
      </w:r>
    </w:p>
    <w:p>
      <w:pPr>
        <w:pStyle w:val="149"/>
        <w:numPr>
          <w:ilvl w:val="0"/>
          <w:numId w:val="0"/>
        </w:numPr>
        <w:spacing w:line="360" w:lineRule="auto"/>
        <w:ind w:firstLine="480" w:firstLineChars="200"/>
      </w:pPr>
      <w:r>
        <w:rPr>
          <w:rFonts w:hint="eastAsia"/>
        </w:rPr>
        <w:t>1）纵向、侧向、垂向三个方向的平动自由度；</w:t>
      </w:r>
    </w:p>
    <w:p>
      <w:pPr>
        <w:pStyle w:val="149"/>
        <w:numPr>
          <w:ilvl w:val="0"/>
          <w:numId w:val="0"/>
        </w:numPr>
        <w:spacing w:line="360" w:lineRule="auto"/>
        <w:ind w:firstLine="480" w:firstLineChars="200"/>
      </w:pPr>
      <w:r>
        <w:rPr>
          <w:rFonts w:hint="eastAsia"/>
        </w:rPr>
        <w:t>2）纵向、侧向、垂向三个方向的转动自由度。</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车体参数能够设置应包括：</w:t>
      </w:r>
    </w:p>
    <w:p>
      <w:pPr>
        <w:pStyle w:val="149"/>
        <w:numPr>
          <w:ilvl w:val="0"/>
          <w:numId w:val="0"/>
        </w:numPr>
        <w:spacing w:line="360" w:lineRule="auto"/>
        <w:ind w:firstLine="480" w:firstLineChars="200"/>
      </w:pPr>
      <w:r>
        <w:rPr>
          <w:rFonts w:hint="eastAsia"/>
        </w:rPr>
        <w:t>1）车辆质心坐标；</w:t>
      </w:r>
    </w:p>
    <w:p>
      <w:pPr>
        <w:pStyle w:val="149"/>
        <w:numPr>
          <w:ilvl w:val="0"/>
          <w:numId w:val="0"/>
        </w:numPr>
        <w:spacing w:line="360" w:lineRule="auto"/>
        <w:ind w:firstLine="480" w:firstLineChars="200"/>
      </w:pPr>
      <w:r>
        <w:rPr>
          <w:rFonts w:hint="eastAsia"/>
        </w:rPr>
        <w:t>2）车体结构参数，如轴距、轮距等；</w:t>
      </w:r>
    </w:p>
    <w:p>
      <w:pPr>
        <w:pStyle w:val="149"/>
        <w:numPr>
          <w:ilvl w:val="0"/>
          <w:numId w:val="0"/>
        </w:numPr>
        <w:spacing w:line="360" w:lineRule="auto"/>
        <w:ind w:firstLine="480" w:firstLineChars="200"/>
      </w:pPr>
      <w:r>
        <w:t>3</w:t>
      </w:r>
      <w:r>
        <w:rPr>
          <w:rFonts w:hint="eastAsia"/>
        </w:rPr>
        <w:t>）车体物理参数，如质量、惯量等；</w:t>
      </w:r>
    </w:p>
    <w:p>
      <w:pPr>
        <w:pStyle w:val="149"/>
        <w:numPr>
          <w:ilvl w:val="0"/>
          <w:numId w:val="0"/>
        </w:numPr>
        <w:spacing w:line="360" w:lineRule="auto"/>
        <w:ind w:firstLine="480" w:firstLineChars="200"/>
      </w:pPr>
      <w:r>
        <w:t>4</w:t>
      </w:r>
      <w:r>
        <w:rPr>
          <w:rFonts w:hint="eastAsia"/>
        </w:rPr>
        <w:t>）10个任意作用点的车辆负载（质量、惯量、坐标位置）。</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针对空气动力学应可配置：</w:t>
      </w:r>
    </w:p>
    <w:p>
      <w:pPr>
        <w:pStyle w:val="149"/>
        <w:numPr>
          <w:ilvl w:val="0"/>
          <w:numId w:val="0"/>
        </w:numPr>
        <w:spacing w:line="360" w:lineRule="auto"/>
        <w:ind w:firstLine="480" w:firstLineChars="200"/>
      </w:pPr>
      <w:r>
        <w:rPr>
          <w:rFonts w:hint="eastAsia"/>
        </w:rPr>
        <w:t>1）风力参考点（风力作用在车体上的中心参考点）；</w:t>
      </w:r>
    </w:p>
    <w:p>
      <w:pPr>
        <w:pStyle w:val="149"/>
        <w:numPr>
          <w:ilvl w:val="0"/>
          <w:numId w:val="0"/>
        </w:numPr>
        <w:spacing w:line="360" w:lineRule="auto"/>
        <w:ind w:firstLine="480" w:firstLineChars="200"/>
      </w:pPr>
      <w:r>
        <w:rPr>
          <w:rFonts w:hint="eastAsia"/>
        </w:rPr>
        <w:t>2）空气密度；</w:t>
      </w:r>
    </w:p>
    <w:p>
      <w:pPr>
        <w:pStyle w:val="149"/>
        <w:numPr>
          <w:ilvl w:val="0"/>
          <w:numId w:val="0"/>
        </w:numPr>
        <w:spacing w:line="360" w:lineRule="auto"/>
        <w:ind w:firstLine="480" w:firstLineChars="200"/>
      </w:pPr>
      <w:r>
        <w:rPr>
          <w:rFonts w:hint="eastAsia"/>
        </w:rPr>
        <w:t>3）风速；</w:t>
      </w:r>
    </w:p>
    <w:p>
      <w:pPr>
        <w:pStyle w:val="149"/>
        <w:numPr>
          <w:ilvl w:val="0"/>
          <w:numId w:val="0"/>
        </w:numPr>
        <w:spacing w:line="360" w:lineRule="auto"/>
        <w:ind w:firstLine="480" w:firstLineChars="200"/>
      </w:pPr>
      <w:r>
        <w:rPr>
          <w:rFonts w:hint="eastAsia"/>
        </w:rPr>
        <w:t>4）迎风面积和参考长度；</w:t>
      </w:r>
    </w:p>
    <w:p>
      <w:pPr>
        <w:pStyle w:val="149"/>
        <w:numPr>
          <w:ilvl w:val="0"/>
          <w:numId w:val="0"/>
        </w:numPr>
        <w:spacing w:line="360" w:lineRule="auto"/>
        <w:ind w:firstLine="480" w:firstLineChars="200"/>
      </w:pPr>
      <w:r>
        <w:rPr>
          <w:rFonts w:hint="eastAsia"/>
        </w:rPr>
        <w:t>5）风力系数曲线。</w:t>
      </w:r>
    </w:p>
    <w:p>
      <w:pPr>
        <w:pStyle w:val="150"/>
        <w:numPr>
          <w:ilvl w:val="0"/>
          <w:numId w:val="0"/>
        </w:numPr>
        <w:ind w:left="850" w:hanging="850"/>
        <w:outlineLvl w:val="5"/>
      </w:pPr>
      <w:bookmarkStart w:id="62" w:name="_Toc152279004"/>
      <w:r>
        <w:rPr>
          <w:rFonts w:hint="eastAsia"/>
        </w:rPr>
        <w:t>4.5.1.2悬架系统要求</w:t>
      </w:r>
      <w:bookmarkEnd w:id="62"/>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悬架模型应包括弹簧、阻尼、缓冲器和稳定器，采用力特性和K&amp;C特性输入的方式建立，为便于用户设置，K&amp;C特性可通过单变量曲线输入，同时能够输入详细的减震器、阻尼，弹簧刚度，稳定杆刚度，限位块刚度和阻尼等，并提供外部力接口。悬架模型应具有以下特性：</w:t>
      </w:r>
    </w:p>
    <w:p>
      <w:pPr>
        <w:pStyle w:val="149"/>
        <w:numPr>
          <w:ilvl w:val="0"/>
          <w:numId w:val="0"/>
        </w:numPr>
        <w:spacing w:line="360" w:lineRule="auto"/>
        <w:ind w:left="480"/>
      </w:pPr>
      <w:r>
        <w:rPr>
          <w:rFonts w:hint="eastAsia"/>
        </w:rPr>
        <w:t>1）线性、非线性描述部件特性；</w:t>
      </w:r>
      <w:r>
        <w:t xml:space="preserve"> </w:t>
      </w:r>
    </w:p>
    <w:p>
      <w:pPr>
        <w:pStyle w:val="149"/>
        <w:numPr>
          <w:ilvl w:val="0"/>
          <w:numId w:val="0"/>
        </w:numPr>
        <w:spacing w:line="360" w:lineRule="auto"/>
        <w:ind w:left="480"/>
      </w:pPr>
      <w:r>
        <w:rPr>
          <w:rFonts w:hint="eastAsia"/>
        </w:rPr>
        <w:t>2）载荷组合工况</w:t>
      </w:r>
      <w:r>
        <w:t>(</w:t>
      </w:r>
      <w:r>
        <w:rPr>
          <w:rFonts w:hint="eastAsia"/>
        </w:rPr>
        <w:t>如转向</w:t>
      </w:r>
      <w:r>
        <w:t>+</w:t>
      </w:r>
      <w:r>
        <w:rPr>
          <w:rFonts w:hint="eastAsia"/>
        </w:rPr>
        <w:t>车身压缩</w:t>
      </w:r>
      <w:r>
        <w:t>)</w:t>
      </w:r>
      <w:r>
        <w:rPr>
          <w:rFonts w:hint="eastAsia"/>
        </w:rPr>
        <w:t>；</w:t>
      </w:r>
    </w:p>
    <w:p>
      <w:pPr>
        <w:pStyle w:val="149"/>
        <w:numPr>
          <w:ilvl w:val="0"/>
          <w:numId w:val="0"/>
        </w:numPr>
        <w:spacing w:line="360" w:lineRule="auto"/>
        <w:ind w:left="480"/>
      </w:pPr>
      <w:r>
        <w:rPr>
          <w:rFonts w:hint="eastAsia"/>
        </w:rPr>
        <w:t>3）</w:t>
      </w:r>
      <w:r>
        <w:t>K&amp;C</w:t>
      </w:r>
      <w:r>
        <w:rPr>
          <w:rFonts w:hint="eastAsia"/>
        </w:rPr>
        <w:t>参数可选；</w:t>
      </w:r>
    </w:p>
    <w:p>
      <w:pPr>
        <w:pStyle w:val="149"/>
        <w:numPr>
          <w:ilvl w:val="0"/>
          <w:numId w:val="0"/>
        </w:numPr>
        <w:spacing w:line="360" w:lineRule="auto"/>
        <w:ind w:left="480"/>
      </w:pPr>
      <w:r>
        <w:rPr>
          <w:rFonts w:hint="eastAsia"/>
        </w:rPr>
        <w:t>4）阻尼、弹簧、减震、稳定器、外部力；</w:t>
      </w:r>
    </w:p>
    <w:p>
      <w:pPr>
        <w:pStyle w:val="149"/>
        <w:numPr>
          <w:ilvl w:val="0"/>
          <w:numId w:val="0"/>
        </w:numPr>
        <w:spacing w:line="360" w:lineRule="auto"/>
        <w:ind w:left="480"/>
      </w:pPr>
      <w:r>
        <w:rPr>
          <w:rFonts w:hint="eastAsia"/>
        </w:rPr>
        <w:t>5）举升效应自动参数化；</w:t>
      </w:r>
    </w:p>
    <w:p>
      <w:pPr>
        <w:pStyle w:val="149"/>
        <w:numPr>
          <w:ilvl w:val="0"/>
          <w:numId w:val="0"/>
        </w:numPr>
        <w:spacing w:line="360" w:lineRule="auto"/>
        <w:ind w:left="480"/>
      </w:pPr>
      <w:r>
        <w:rPr>
          <w:rFonts w:hint="eastAsia"/>
        </w:rPr>
        <w:t>6）通过参数化缓冲实现局部刚性特性；</w:t>
      </w:r>
      <w:r>
        <w:t xml:space="preserve"> </w:t>
      </w:r>
    </w:p>
    <w:p>
      <w:pPr>
        <w:pStyle w:val="149"/>
        <w:numPr>
          <w:ilvl w:val="0"/>
          <w:numId w:val="0"/>
        </w:numPr>
        <w:spacing w:line="360" w:lineRule="auto"/>
        <w:ind w:left="480"/>
      </w:pPr>
      <w:r>
        <w:rPr>
          <w:rFonts w:hint="eastAsia"/>
        </w:rPr>
        <w:t>7）通过阻尼设置实现车轴动态行为。</w:t>
      </w:r>
      <w:r>
        <w:t xml:space="preserve"> </w:t>
      </w:r>
    </w:p>
    <w:p>
      <w:pPr>
        <w:pStyle w:val="150"/>
        <w:numPr>
          <w:ilvl w:val="0"/>
          <w:numId w:val="0"/>
        </w:numPr>
        <w:ind w:left="850" w:hanging="850"/>
        <w:outlineLvl w:val="5"/>
      </w:pPr>
      <w:bookmarkStart w:id="63" w:name="_Toc152279005"/>
      <w:r>
        <w:rPr>
          <w:rFonts w:hint="eastAsia"/>
        </w:rPr>
        <w:t>4.5.1.3转向系统要求</w:t>
      </w:r>
      <w:bookmarkEnd w:id="63"/>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软件应提供参数驱动转向模型，包括方向盘转角输入以及机械系统和转向助力系统详细描述的转向模型。</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转向系统中的转向机械，转向助力系统，转向控制等部分应可进行详细的参数化建模，转向机械模型包括方向盘，转向柱，循环球减速器，液压助力器，转向拉杆刚度和阻尼等方面的因素都应予以详细考虑。</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同时转向系统应考虑主销的影响，主销参数，包括内倾角、外倾角等均可进行配置。</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支持前轴转向，双轴转向。</w:t>
      </w:r>
    </w:p>
    <w:p>
      <w:pPr>
        <w:pStyle w:val="150"/>
        <w:numPr>
          <w:ilvl w:val="0"/>
          <w:numId w:val="0"/>
        </w:numPr>
        <w:ind w:left="850" w:hanging="850"/>
        <w:outlineLvl w:val="5"/>
      </w:pPr>
      <w:bookmarkStart w:id="64" w:name="_Toc152279006"/>
      <w:r>
        <w:rPr>
          <w:rFonts w:hint="eastAsia"/>
        </w:rPr>
        <w:t>4.5.1.4制动系统</w:t>
      </w:r>
      <w:bookmarkEnd w:id="64"/>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软件应提供参数化的通用制动系统，同时提供了两种形式的制动盘：制动鼓式和制动盘式模型。模型可设置参数应包括：</w:t>
      </w:r>
    </w:p>
    <w:p>
      <w:pPr>
        <w:pStyle w:val="149"/>
        <w:numPr>
          <w:ilvl w:val="0"/>
          <w:numId w:val="0"/>
        </w:numPr>
        <w:spacing w:line="360" w:lineRule="auto"/>
        <w:ind w:firstLine="480" w:firstLineChars="200"/>
      </w:pPr>
      <w:r>
        <w:rPr>
          <w:rFonts w:hint="eastAsia"/>
        </w:rPr>
        <w:t>1）制动踏板与轮缸压力关系曲线；</w:t>
      </w:r>
    </w:p>
    <w:p>
      <w:pPr>
        <w:pStyle w:val="149"/>
        <w:numPr>
          <w:ilvl w:val="0"/>
          <w:numId w:val="0"/>
        </w:numPr>
        <w:spacing w:line="360" w:lineRule="auto"/>
        <w:ind w:firstLine="480" w:firstLineChars="200"/>
      </w:pPr>
      <w:r>
        <w:rPr>
          <w:rFonts w:hint="eastAsia"/>
        </w:rPr>
        <w:t>2）表格参数化制动盘模型：四轮缸压力到轮胎制定扭矩关系曲线；</w:t>
      </w:r>
    </w:p>
    <w:p>
      <w:pPr>
        <w:pStyle w:val="149"/>
        <w:numPr>
          <w:ilvl w:val="0"/>
          <w:numId w:val="0"/>
        </w:numPr>
        <w:spacing w:line="360" w:lineRule="auto"/>
        <w:ind w:firstLine="480" w:firstLineChars="200"/>
      </w:pPr>
      <w:r>
        <w:rPr>
          <w:rFonts w:hint="eastAsia"/>
        </w:rPr>
        <w:t>3）钳式制动盘模型：制动面积、制动效率、摩擦系数等。</w:t>
      </w:r>
    </w:p>
    <w:p>
      <w:pPr>
        <w:pStyle w:val="150"/>
        <w:numPr>
          <w:ilvl w:val="0"/>
          <w:numId w:val="0"/>
        </w:numPr>
        <w:ind w:left="850" w:hanging="850"/>
        <w:outlineLvl w:val="5"/>
      </w:pPr>
      <w:bookmarkStart w:id="65" w:name="_Toc152279007"/>
      <w:r>
        <w:rPr>
          <w:rFonts w:hint="eastAsia"/>
        </w:rPr>
        <w:t>4.5.1.5动力和传动系统</w:t>
      </w:r>
      <w:bookmarkEnd w:id="65"/>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软件应提供至少两种形式的动力和传动系统：纯油、混动模式。其中纯油动力传动系统应包括：起动机、发动机、离合器、液力变矩器、变速箱和包含差速器的传动系统；混动动力和传动系统应包括电机、变速箱和传动系统。动力和传动系统应具备如下特性：</w:t>
      </w:r>
    </w:p>
    <w:p>
      <w:pPr>
        <w:pStyle w:val="149"/>
        <w:numPr>
          <w:ilvl w:val="0"/>
          <w:numId w:val="0"/>
        </w:numPr>
        <w:spacing w:line="360" w:lineRule="auto"/>
        <w:ind w:firstLine="480" w:firstLineChars="200"/>
      </w:pPr>
      <w:r>
        <w:rPr>
          <w:rFonts w:hint="eastAsia"/>
        </w:rPr>
        <w:t>1）可选择动力传动系统模式（纯油、纯电、</w:t>
      </w:r>
      <w:r>
        <w:rPr>
          <w:rFonts w:hint="eastAsia"/>
          <w:color w:val="FF0000"/>
        </w:rPr>
        <w:t>串联/</w:t>
      </w:r>
      <w:r>
        <w:rPr>
          <w:rFonts w:hint="eastAsia"/>
        </w:rPr>
        <w:t>并联混动）；</w:t>
      </w:r>
    </w:p>
    <w:p>
      <w:pPr>
        <w:pStyle w:val="149"/>
        <w:numPr>
          <w:ilvl w:val="0"/>
          <w:numId w:val="0"/>
        </w:numPr>
        <w:spacing w:line="360" w:lineRule="auto"/>
        <w:ind w:firstLine="480" w:firstLineChars="200"/>
      </w:pPr>
      <w:r>
        <w:rPr>
          <w:rFonts w:hint="eastAsia"/>
        </w:rPr>
        <w:t>2）发动机可设置map；</w:t>
      </w:r>
    </w:p>
    <w:p>
      <w:pPr>
        <w:pStyle w:val="149"/>
        <w:numPr>
          <w:ilvl w:val="0"/>
          <w:numId w:val="0"/>
        </w:numPr>
        <w:spacing w:line="360" w:lineRule="auto"/>
        <w:ind w:firstLine="480" w:firstLineChars="200"/>
      </w:pPr>
      <w:r>
        <w:rPr>
          <w:rFonts w:hint="eastAsia"/>
        </w:rPr>
        <w:t>3）离合器为液力变矩器</w:t>
      </w:r>
      <w:r>
        <w:rPr>
          <w:rFonts w:hint="eastAsia"/>
          <w:color w:val="FF0000"/>
        </w:rPr>
        <w:t>或干式摩擦片离合器</w:t>
      </w:r>
      <w:r>
        <w:rPr>
          <w:rFonts w:hint="eastAsia"/>
        </w:rPr>
        <w:t>；</w:t>
      </w:r>
    </w:p>
    <w:p>
      <w:pPr>
        <w:pStyle w:val="149"/>
        <w:numPr>
          <w:ilvl w:val="0"/>
          <w:numId w:val="0"/>
        </w:numPr>
        <w:spacing w:line="360" w:lineRule="auto"/>
        <w:ind w:firstLine="480" w:firstLineChars="200"/>
      </w:pPr>
      <w:r>
        <w:rPr>
          <w:rFonts w:hint="eastAsia"/>
        </w:rPr>
        <w:t>4）变速箱模型为自动变速箱；</w:t>
      </w:r>
    </w:p>
    <w:p>
      <w:pPr>
        <w:pStyle w:val="149"/>
        <w:numPr>
          <w:ilvl w:val="0"/>
          <w:numId w:val="0"/>
        </w:numPr>
        <w:spacing w:line="360" w:lineRule="auto"/>
        <w:ind w:firstLine="480" w:firstLineChars="200"/>
      </w:pPr>
      <w:r>
        <w:rPr>
          <w:rFonts w:hint="eastAsia"/>
        </w:rPr>
        <w:t>5）传动系统能够实现前驱、后驱和四驱形式，并可定义差速器；</w:t>
      </w:r>
    </w:p>
    <w:p>
      <w:pPr>
        <w:pStyle w:val="149"/>
        <w:numPr>
          <w:ilvl w:val="0"/>
          <w:numId w:val="0"/>
        </w:numPr>
        <w:spacing w:line="360" w:lineRule="auto"/>
        <w:ind w:firstLine="480" w:firstLineChars="200"/>
      </w:pPr>
      <w:r>
        <w:rPr>
          <w:rFonts w:hint="eastAsia"/>
        </w:rPr>
        <w:t>6）动力和传动系统包含相应的TCU、</w:t>
      </w:r>
      <w:r>
        <w:rPr>
          <w:rFonts w:hint="eastAsia"/>
          <w:color w:val="FF0000"/>
        </w:rPr>
        <w:t>ECU等</w:t>
      </w:r>
      <w:r>
        <w:rPr>
          <w:rFonts w:hint="eastAsia"/>
        </w:rPr>
        <w:t>控制器。</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动力传动模型应支持扩展多种类发送机、变速箱simulink模型，在满足用户通用使用的基础上，一定程度上的实现定制化需求。同时模型可集成用户自定义独立模块，并能够扩展第三方的传动系统模型。</w:t>
      </w:r>
    </w:p>
    <w:p>
      <w:pPr>
        <w:pStyle w:val="150"/>
        <w:numPr>
          <w:ilvl w:val="0"/>
          <w:numId w:val="0"/>
        </w:numPr>
        <w:ind w:left="850" w:hanging="850"/>
        <w:outlineLvl w:val="5"/>
      </w:pPr>
      <w:bookmarkStart w:id="66" w:name="_Toc152279008"/>
      <w:r>
        <w:rPr>
          <w:rFonts w:hint="eastAsia"/>
        </w:rPr>
        <w:t>4.5.1.6轮胎模型技术要求</w:t>
      </w:r>
      <w:bookmarkEnd w:id="66"/>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软件应提供轮胎特性曲线输入方式和一般魔术公式的轮胎模型，轮胎特性曲线输入方式可由用户配置轮胎特性曲线，包括横向力、纵向力和回正力矩曲线；魔术公式轮胎模型可由用户进行魔术轮胎参数配置。模型应支持：</w:t>
      </w:r>
    </w:p>
    <w:p>
      <w:pPr>
        <w:pStyle w:val="149"/>
        <w:numPr>
          <w:ilvl w:val="0"/>
          <w:numId w:val="0"/>
        </w:numPr>
        <w:spacing w:line="360" w:lineRule="auto"/>
        <w:ind w:firstLine="480" w:firstLineChars="200"/>
      </w:pPr>
      <w:r>
        <w:rPr>
          <w:rFonts w:hint="eastAsia"/>
        </w:rPr>
        <w:t>1）用户轮胎特性曲线导入；</w:t>
      </w:r>
    </w:p>
    <w:p>
      <w:pPr>
        <w:pStyle w:val="149"/>
        <w:numPr>
          <w:ilvl w:val="0"/>
          <w:numId w:val="0"/>
        </w:numPr>
        <w:spacing w:line="360" w:lineRule="auto"/>
        <w:ind w:firstLine="480" w:firstLineChars="200"/>
      </w:pPr>
      <w:r>
        <w:rPr>
          <w:rFonts w:hint="eastAsia"/>
        </w:rPr>
        <w:t>2）用于3D道路环境仿真；</w:t>
      </w:r>
    </w:p>
    <w:p>
      <w:pPr>
        <w:pStyle w:val="149"/>
        <w:numPr>
          <w:ilvl w:val="0"/>
          <w:numId w:val="0"/>
        </w:numPr>
        <w:spacing w:line="360" w:lineRule="auto"/>
        <w:ind w:firstLine="480" w:firstLineChars="200"/>
      </w:pPr>
      <w:r>
        <w:rPr>
          <w:rFonts w:hint="eastAsia"/>
        </w:rPr>
        <w:t>3）基于物体分析功能：结合纵向力和侧向力以及动力学行为。</w:t>
      </w:r>
    </w:p>
    <w:p>
      <w:pPr>
        <w:numPr>
          <w:ilvl w:val="1"/>
          <w:numId w:val="0"/>
        </w:numPr>
        <w:tabs>
          <w:tab w:val="left" w:pos="454"/>
        </w:tabs>
        <w:spacing w:line="360" w:lineRule="auto"/>
        <w:outlineLvl w:val="4"/>
        <w:rPr>
          <w:rFonts w:ascii="Times New Roman" w:hAnsi="Times New Roman" w:eastAsia="宋体" w:cs="Times New Roman"/>
          <w:sz w:val="24"/>
          <w:szCs w:val="24"/>
        </w:rPr>
      </w:pPr>
      <w:bookmarkStart w:id="67" w:name="_Toc27438"/>
      <w:bookmarkStart w:id="68" w:name="_Toc152279009"/>
      <w:r>
        <w:rPr>
          <w:rFonts w:hint="eastAsia" w:ascii="Times New Roman" w:hAnsi="Times New Roman" w:eastAsia="宋体" w:cs="Times New Roman"/>
          <w:sz w:val="24"/>
          <w:szCs w:val="24"/>
        </w:rPr>
        <w:t>4.5.2驾驶操纵及驾驶员模型</w:t>
      </w:r>
      <w:bookmarkEnd w:id="67"/>
      <w:r>
        <w:rPr>
          <w:rFonts w:hint="eastAsia" w:ascii="Times New Roman" w:hAnsi="Times New Roman" w:eastAsia="宋体" w:cs="Times New Roman"/>
          <w:sz w:val="24"/>
          <w:szCs w:val="24"/>
        </w:rPr>
        <w:t>要求</w:t>
      </w:r>
      <w:bookmarkEnd w:id="68"/>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软件驾驶操纵模型应能够实现车辆开闭环测试，并且能够单独对车辆的横向和纵向进行单独开闭环配置，至少包括：</w:t>
      </w:r>
    </w:p>
    <w:p>
      <w:pPr>
        <w:pStyle w:val="149"/>
        <w:numPr>
          <w:ilvl w:val="0"/>
          <w:numId w:val="0"/>
        </w:numPr>
        <w:spacing w:line="360" w:lineRule="auto"/>
        <w:ind w:firstLine="480" w:firstLineChars="200"/>
      </w:pPr>
      <w:r>
        <w:rPr>
          <w:rFonts w:hint="eastAsia"/>
        </w:rPr>
        <w:t>1）纵向开环设置：加速踏板设置、制动踏板设置、加速度大小设置；</w:t>
      </w:r>
    </w:p>
    <w:p>
      <w:pPr>
        <w:pStyle w:val="149"/>
        <w:numPr>
          <w:ilvl w:val="0"/>
          <w:numId w:val="0"/>
        </w:numPr>
        <w:spacing w:line="360" w:lineRule="auto"/>
        <w:ind w:firstLine="480" w:firstLineChars="200"/>
      </w:pPr>
      <w:r>
        <w:rPr>
          <w:rFonts w:hint="eastAsia"/>
        </w:rPr>
        <w:t>2）纵向闭环设置：恒定车速设置；</w:t>
      </w:r>
    </w:p>
    <w:p>
      <w:pPr>
        <w:pStyle w:val="149"/>
        <w:numPr>
          <w:ilvl w:val="0"/>
          <w:numId w:val="0"/>
        </w:numPr>
        <w:spacing w:line="360" w:lineRule="auto"/>
        <w:ind w:firstLine="480" w:firstLineChars="200"/>
      </w:pPr>
      <w:r>
        <w:rPr>
          <w:rFonts w:hint="eastAsia"/>
        </w:rPr>
        <w:t>3）横向开环设置：转角大小设置；</w:t>
      </w:r>
    </w:p>
    <w:p>
      <w:pPr>
        <w:pStyle w:val="149"/>
        <w:numPr>
          <w:ilvl w:val="0"/>
          <w:numId w:val="0"/>
        </w:numPr>
        <w:spacing w:line="360" w:lineRule="auto"/>
        <w:ind w:firstLine="480" w:firstLineChars="200"/>
      </w:pPr>
      <w:r>
        <w:rPr>
          <w:rFonts w:hint="eastAsia"/>
        </w:rPr>
        <w:t>4）横向闭环设置：行驶路径选择、行驶路径偏移设置、行驶路径自定义设置等；</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软件应能实现不同开闭环组合驾驶工况，可覆盖国标规定的车辆性能测试场景，包括双移线、鱼钩、蛇形等。</w:t>
      </w:r>
    </w:p>
    <w:p>
      <w:pPr>
        <w:numPr>
          <w:ilvl w:val="1"/>
          <w:numId w:val="0"/>
        </w:numPr>
        <w:tabs>
          <w:tab w:val="left" w:pos="454"/>
        </w:tabs>
        <w:spacing w:line="360" w:lineRule="auto"/>
        <w:outlineLvl w:val="4"/>
        <w:rPr>
          <w:rFonts w:ascii="Times New Roman" w:hAnsi="Times New Roman" w:eastAsia="宋体" w:cs="Times New Roman"/>
          <w:sz w:val="24"/>
          <w:szCs w:val="24"/>
        </w:rPr>
      </w:pPr>
      <w:bookmarkStart w:id="69" w:name="_Toc152279010"/>
      <w:r>
        <w:rPr>
          <w:rFonts w:hint="eastAsia" w:ascii="Times New Roman" w:hAnsi="Times New Roman" w:eastAsia="宋体" w:cs="Times New Roman"/>
          <w:sz w:val="24"/>
          <w:szCs w:val="24"/>
        </w:rPr>
        <w:t>4.5.3动画渲染要求</w:t>
      </w:r>
      <w:bookmarkEnd w:id="69"/>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软件动画仿真应能提供极其逼真的环境动画，至少包括：</w:t>
      </w:r>
    </w:p>
    <w:p>
      <w:pPr>
        <w:pStyle w:val="149"/>
        <w:numPr>
          <w:ilvl w:val="0"/>
          <w:numId w:val="0"/>
        </w:numPr>
        <w:spacing w:line="360" w:lineRule="auto"/>
        <w:ind w:firstLine="480" w:firstLineChars="200"/>
      </w:pPr>
      <w:r>
        <w:rPr>
          <w:rFonts w:hint="eastAsia"/>
        </w:rPr>
        <w:t>1）逼真的建筑物、树木、草地等环境物体；</w:t>
      </w:r>
    </w:p>
    <w:p>
      <w:pPr>
        <w:pStyle w:val="149"/>
        <w:numPr>
          <w:ilvl w:val="0"/>
          <w:numId w:val="0"/>
        </w:numPr>
        <w:spacing w:line="360" w:lineRule="auto"/>
        <w:ind w:firstLine="480" w:firstLineChars="200"/>
      </w:pPr>
      <w:r>
        <w:rPr>
          <w:rFonts w:hint="eastAsia"/>
        </w:rPr>
        <w:t>2）实际道路模拟，包括车道线、路沿；</w:t>
      </w:r>
    </w:p>
    <w:p>
      <w:pPr>
        <w:pStyle w:val="149"/>
        <w:numPr>
          <w:ilvl w:val="0"/>
          <w:numId w:val="0"/>
        </w:numPr>
        <w:spacing w:line="360" w:lineRule="auto"/>
        <w:ind w:firstLine="480" w:firstLineChars="200"/>
      </w:pPr>
      <w:r>
        <w:rPr>
          <w:rFonts w:hint="eastAsia"/>
        </w:rPr>
        <w:t>3）渲染物体实时光影效果。</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同时软件动画场景应可以实现视角添加和删除，以及通过鼠标实现快速缩放以及旋转功能、设置</w:t>
      </w:r>
      <w:r>
        <w:rPr>
          <w:rFonts w:ascii="Times New Roman" w:hAnsi="Times New Roman" w:eastAsia="宋体"/>
        </w:rPr>
        <w:t>Offset (x,y,z)</w:t>
      </w:r>
      <w:r>
        <w:rPr>
          <w:rFonts w:hint="eastAsia" w:ascii="Times New Roman" w:hAnsi="Times New Roman" w:eastAsia="宋体"/>
        </w:rPr>
        <w:t>、用户自定义默认视角、固定以及移动摄像机、在车内随着车体一起移动。</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软件场景应提供动画场景数据保存功能，动画场景能够根据保存的动画场景数据进行实时渲染，能够保证复现车辆运行的状态，更好的帮助用户发现算法试验中的问题。</w:t>
      </w:r>
    </w:p>
    <w:p>
      <w:pPr>
        <w:numPr>
          <w:ilvl w:val="1"/>
          <w:numId w:val="0"/>
        </w:numPr>
        <w:tabs>
          <w:tab w:val="left" w:pos="454"/>
        </w:tabs>
        <w:spacing w:line="360" w:lineRule="auto"/>
        <w:outlineLvl w:val="4"/>
        <w:rPr>
          <w:rFonts w:ascii="Times New Roman" w:hAnsi="Times New Roman" w:eastAsia="宋体" w:cs="Times New Roman"/>
          <w:sz w:val="24"/>
          <w:szCs w:val="24"/>
        </w:rPr>
      </w:pPr>
      <w:bookmarkStart w:id="70" w:name="_Toc152279011"/>
      <w:r>
        <w:rPr>
          <w:rFonts w:hint="eastAsia" w:ascii="Times New Roman" w:hAnsi="Times New Roman" w:eastAsia="宋体" w:cs="Times New Roman"/>
          <w:sz w:val="24"/>
          <w:szCs w:val="24"/>
        </w:rPr>
        <w:t>4.5.4道路编辑器要求</w:t>
      </w:r>
      <w:bookmarkEnd w:id="70"/>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软件的道路编辑系统应基于OpenDrive或其他系统开发，并根据中国实际交通情况以及智能驾驶对高精地图的实际需求做适应性调整。用户应可以自己根据测试需求绘制道路，也可以直接导入OpenDrive地图。</w:t>
      </w:r>
    </w:p>
    <w:p>
      <w:pPr>
        <w:pStyle w:val="145"/>
        <w:numPr>
          <w:ilvl w:val="1"/>
          <w:numId w:val="0"/>
        </w:numPr>
        <w:spacing w:line="360" w:lineRule="auto"/>
        <w:ind w:firstLine="480" w:firstLineChars="200"/>
        <w:rPr>
          <w:rFonts w:ascii="Times New Roman" w:hAnsi="Times New Roman" w:eastAsia="宋体"/>
        </w:rPr>
      </w:pPr>
      <w:r>
        <w:rPr>
          <w:rFonts w:hint="eastAsia" w:ascii="Times New Roman" w:hAnsi="Times New Roman" w:eastAsia="宋体"/>
        </w:rPr>
        <w:t>地图编辑器应具备如下特性：</w:t>
      </w:r>
    </w:p>
    <w:p>
      <w:pPr>
        <w:pStyle w:val="149"/>
        <w:numPr>
          <w:ilvl w:val="0"/>
          <w:numId w:val="0"/>
        </w:numPr>
        <w:spacing w:line="360" w:lineRule="auto"/>
        <w:ind w:firstLine="480" w:firstLineChars="200"/>
      </w:pPr>
      <w:r>
        <w:rPr>
          <w:rFonts w:hint="eastAsia"/>
        </w:rPr>
        <w:t>1）易于掌握及结构布置规范的GUI；</w:t>
      </w:r>
    </w:p>
    <w:p>
      <w:pPr>
        <w:pStyle w:val="149"/>
        <w:numPr>
          <w:ilvl w:val="0"/>
          <w:numId w:val="0"/>
        </w:numPr>
        <w:spacing w:line="360" w:lineRule="auto"/>
        <w:ind w:firstLine="480" w:firstLineChars="200"/>
      </w:pPr>
      <w:r>
        <w:rPr>
          <w:rFonts w:hint="eastAsia"/>
        </w:rPr>
        <w:t>2）基于</w:t>
      </w:r>
      <w:r>
        <w:t>OpenDrive</w:t>
      </w:r>
      <w:r>
        <w:rPr>
          <w:rFonts w:hint="eastAsia"/>
        </w:rPr>
        <w:t>标准；</w:t>
      </w:r>
    </w:p>
    <w:p>
      <w:pPr>
        <w:pStyle w:val="149"/>
        <w:numPr>
          <w:ilvl w:val="0"/>
          <w:numId w:val="0"/>
        </w:numPr>
        <w:spacing w:line="360" w:lineRule="auto"/>
        <w:ind w:firstLine="480" w:firstLineChars="200"/>
      </w:pPr>
      <w:r>
        <w:rPr>
          <w:rFonts w:hint="eastAsia"/>
        </w:rPr>
        <w:t>3）可以导入OpenDrive文件并且在二维平面显示，可以显示车道线、车道、交通苦口、交通标志等信息、道路高程等信息；</w:t>
      </w:r>
    </w:p>
    <w:p>
      <w:pPr>
        <w:pStyle w:val="149"/>
        <w:numPr>
          <w:ilvl w:val="0"/>
          <w:numId w:val="0"/>
        </w:numPr>
        <w:spacing w:line="360" w:lineRule="auto"/>
        <w:ind w:firstLine="480" w:firstLineChars="200"/>
      </w:pPr>
      <w:r>
        <w:rPr>
          <w:rFonts w:hint="eastAsia"/>
        </w:rPr>
        <w:t>4）可以通过鼠标滚轮实现地图的放大、缩小、平移；</w:t>
      </w:r>
    </w:p>
    <w:p>
      <w:pPr>
        <w:pStyle w:val="149"/>
        <w:numPr>
          <w:ilvl w:val="0"/>
          <w:numId w:val="0"/>
        </w:numPr>
        <w:spacing w:line="360" w:lineRule="auto"/>
        <w:ind w:firstLine="480" w:firstLineChars="200"/>
      </w:pPr>
      <w:r>
        <w:rPr>
          <w:rFonts w:hint="eastAsia"/>
        </w:rPr>
        <w:t>5）通过鼠标点击创建道路，包括直线、圆弧、三次样条形状道路；</w:t>
      </w:r>
    </w:p>
    <w:p>
      <w:pPr>
        <w:pStyle w:val="149"/>
        <w:numPr>
          <w:ilvl w:val="0"/>
          <w:numId w:val="0"/>
        </w:numPr>
        <w:spacing w:line="360" w:lineRule="auto"/>
        <w:ind w:firstLine="480" w:firstLineChars="200"/>
      </w:pPr>
      <w:r>
        <w:rPr>
          <w:rFonts w:hint="eastAsia"/>
        </w:rPr>
        <w:t>6）可以在已有道路的终点添加geometry，包括直线、圆弧、三次样条；</w:t>
      </w:r>
    </w:p>
    <w:p>
      <w:pPr>
        <w:pStyle w:val="149"/>
        <w:numPr>
          <w:ilvl w:val="0"/>
          <w:numId w:val="0"/>
        </w:numPr>
        <w:spacing w:line="360" w:lineRule="auto"/>
        <w:ind w:firstLine="480" w:firstLineChars="200"/>
      </w:pPr>
      <w:r>
        <w:rPr>
          <w:rFonts w:hint="eastAsia"/>
        </w:rPr>
        <w:t>7）可以平滑连接两条道路，连接道路线型包括直线、圆弧、三次样条、螺旋曲线；</w:t>
      </w:r>
    </w:p>
    <w:p>
      <w:pPr>
        <w:pStyle w:val="149"/>
        <w:numPr>
          <w:ilvl w:val="0"/>
          <w:numId w:val="0"/>
        </w:numPr>
        <w:spacing w:line="360" w:lineRule="auto"/>
        <w:ind w:firstLine="480" w:firstLineChars="200"/>
      </w:pPr>
      <w:r>
        <w:rPr>
          <w:rFonts w:hint="eastAsia"/>
        </w:rPr>
        <w:t>8）可以在道路上添加交通信号、交通物体、隧道、桥梁等；</w:t>
      </w:r>
    </w:p>
    <w:p>
      <w:pPr>
        <w:pStyle w:val="149"/>
        <w:numPr>
          <w:ilvl w:val="0"/>
          <w:numId w:val="0"/>
        </w:numPr>
        <w:spacing w:line="360" w:lineRule="auto"/>
        <w:ind w:firstLine="480" w:firstLineChars="200"/>
      </w:pPr>
      <w:r>
        <w:rPr>
          <w:rFonts w:hint="eastAsia"/>
        </w:rPr>
        <w:t>9）可以任意创建交通路口，添加输入输出道路，并对输入输出道路之间的连接关系进行设置；</w:t>
      </w:r>
    </w:p>
    <w:p>
      <w:pPr>
        <w:pStyle w:val="149"/>
        <w:numPr>
          <w:ilvl w:val="0"/>
          <w:numId w:val="0"/>
        </w:numPr>
        <w:spacing w:line="360" w:lineRule="auto"/>
        <w:ind w:firstLine="480" w:firstLineChars="200"/>
      </w:pPr>
      <w:r>
        <w:rPr>
          <w:rFonts w:hint="eastAsia"/>
        </w:rPr>
        <w:t>10）选中某一条路，可以查看道路参数并进行修改，道路参数维度包含track、type、elevation、superelevation、crossfall、lane、signal；</w:t>
      </w:r>
    </w:p>
    <w:p>
      <w:pPr>
        <w:pStyle w:val="149"/>
        <w:numPr>
          <w:ilvl w:val="0"/>
          <w:numId w:val="0"/>
        </w:numPr>
        <w:spacing w:line="360" w:lineRule="auto"/>
        <w:ind w:firstLine="480" w:firstLineChars="200"/>
      </w:pPr>
      <w:r>
        <w:rPr>
          <w:rFonts w:hint="eastAsia"/>
        </w:rPr>
        <w:t>11）选中某一个交通路口，可以查看交通路口的连接关系并进行修改；</w:t>
      </w:r>
    </w:p>
    <w:p>
      <w:pPr>
        <w:pStyle w:val="149"/>
        <w:numPr>
          <w:ilvl w:val="0"/>
          <w:numId w:val="0"/>
        </w:numPr>
        <w:spacing w:line="360" w:lineRule="auto"/>
        <w:ind w:firstLine="480" w:firstLineChars="200"/>
      </w:pPr>
      <w:r>
        <w:rPr>
          <w:rFonts w:hint="eastAsia"/>
        </w:rPr>
        <w:t>12）具备撤销回退功能；</w:t>
      </w:r>
    </w:p>
    <w:p>
      <w:pPr>
        <w:pStyle w:val="149"/>
        <w:numPr>
          <w:ilvl w:val="0"/>
          <w:numId w:val="0"/>
        </w:numPr>
        <w:spacing w:line="360" w:lineRule="auto"/>
        <w:ind w:firstLine="480" w:firstLineChars="200"/>
      </w:pPr>
      <w:r>
        <w:rPr>
          <w:rFonts w:hint="eastAsia"/>
        </w:rPr>
        <w:t>13）可以对编辑好的道路进行3D预览；</w:t>
      </w:r>
    </w:p>
    <w:p>
      <w:pPr>
        <w:pStyle w:val="149"/>
        <w:numPr>
          <w:ilvl w:val="0"/>
          <w:numId w:val="0"/>
        </w:numPr>
        <w:spacing w:line="360" w:lineRule="auto"/>
        <w:ind w:firstLine="480" w:firstLineChars="200"/>
      </w:pPr>
      <w:r>
        <w:rPr>
          <w:rFonts w:hint="eastAsia"/>
        </w:rPr>
        <w:t>14）用户可导入自定义交通标志；</w:t>
      </w:r>
    </w:p>
    <w:p>
      <w:pPr>
        <w:pStyle w:val="149"/>
        <w:numPr>
          <w:ilvl w:val="0"/>
          <w:numId w:val="0"/>
        </w:numPr>
        <w:spacing w:line="360" w:lineRule="auto"/>
        <w:ind w:firstLine="480" w:firstLineChars="200"/>
      </w:pPr>
      <w:r>
        <w:rPr>
          <w:rFonts w:hint="eastAsia"/>
        </w:rPr>
        <w:t>15）用户可导入自定义道路模板。</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4.6其他模型要求</w:t>
      </w:r>
    </w:p>
    <w:p>
      <w:pPr>
        <w:pStyle w:val="151"/>
        <w:numPr>
          <w:ilvl w:val="0"/>
          <w:numId w:val="0"/>
        </w:numPr>
        <w:ind w:left="709" w:hanging="709"/>
        <w:outlineLvl w:val="4"/>
      </w:pPr>
      <w:r>
        <w:rPr>
          <w:rFonts w:hint="eastAsia"/>
        </w:rPr>
        <w:t>4.6.1气压模型要求</w:t>
      </w:r>
    </w:p>
    <w:p>
      <w:pPr>
        <w:pStyle w:val="149"/>
        <w:numPr>
          <w:ilvl w:val="0"/>
          <w:numId w:val="0"/>
        </w:numPr>
        <w:spacing w:line="360" w:lineRule="auto"/>
        <w:ind w:firstLine="480" w:firstLineChars="200"/>
      </w:pPr>
      <w:r>
        <w:rPr>
          <w:rFonts w:hint="eastAsia"/>
        </w:rPr>
        <w:t>1）应包含阀模型、管路模型、轮腔模型；</w:t>
      </w:r>
    </w:p>
    <w:p>
      <w:pPr>
        <w:pStyle w:val="149"/>
        <w:numPr>
          <w:ilvl w:val="0"/>
          <w:numId w:val="0"/>
        </w:numPr>
        <w:spacing w:line="360" w:lineRule="auto"/>
        <w:ind w:firstLine="480" w:firstLineChars="200"/>
      </w:pPr>
      <w:r>
        <w:rPr>
          <w:rFonts w:hint="eastAsia"/>
        </w:rPr>
        <w:t>2）模型参数可以在线配置；</w:t>
      </w:r>
    </w:p>
    <w:p>
      <w:pPr>
        <w:pStyle w:val="149"/>
        <w:numPr>
          <w:ilvl w:val="0"/>
          <w:numId w:val="0"/>
        </w:numPr>
        <w:spacing w:line="360" w:lineRule="auto"/>
        <w:ind w:firstLine="480" w:firstLineChars="200"/>
      </w:pPr>
      <w:r>
        <w:rPr>
          <w:rFonts w:hint="eastAsia"/>
        </w:rPr>
        <w:t>3）能够反映不同管路长度对建压响应时间的影响；</w:t>
      </w:r>
    </w:p>
    <w:p>
      <w:pPr>
        <w:pStyle w:val="149"/>
        <w:numPr>
          <w:ilvl w:val="0"/>
          <w:numId w:val="0"/>
        </w:numPr>
        <w:spacing w:line="360" w:lineRule="auto"/>
        <w:ind w:firstLine="480" w:firstLineChars="200"/>
      </w:pPr>
      <w:r>
        <w:rPr>
          <w:rFonts w:hint="eastAsia"/>
        </w:rPr>
        <w:t>4）能够匹配不同的轮腔容积；</w:t>
      </w:r>
    </w:p>
    <w:p>
      <w:pPr>
        <w:pStyle w:val="149"/>
        <w:numPr>
          <w:ilvl w:val="0"/>
          <w:numId w:val="0"/>
        </w:numPr>
        <w:spacing w:line="360" w:lineRule="auto"/>
        <w:ind w:firstLine="480" w:firstLineChars="200"/>
      </w:pPr>
      <w:r>
        <w:rPr>
          <w:rFonts w:hint="eastAsia"/>
        </w:rPr>
        <w:t>5）支持适应不同的气路结构。</w:t>
      </w:r>
    </w:p>
    <w:p>
      <w:pPr>
        <w:pStyle w:val="151"/>
        <w:numPr>
          <w:ilvl w:val="0"/>
          <w:numId w:val="0"/>
        </w:numPr>
        <w:ind w:left="709" w:hanging="709"/>
        <w:outlineLvl w:val="4"/>
      </w:pPr>
      <w:r>
        <w:rPr>
          <w:rFonts w:hint="eastAsia"/>
        </w:rPr>
        <w:t>4.6.2空气悬架模型要求</w:t>
      </w:r>
    </w:p>
    <w:p>
      <w:pPr>
        <w:pStyle w:val="149"/>
        <w:numPr>
          <w:ilvl w:val="0"/>
          <w:numId w:val="0"/>
        </w:numPr>
        <w:spacing w:line="360" w:lineRule="auto"/>
        <w:ind w:firstLine="480" w:firstLineChars="200"/>
      </w:pPr>
      <w:r>
        <w:rPr>
          <w:rFonts w:hint="eastAsia"/>
        </w:rPr>
        <w:t>1）支持适应不同的悬架气路结构；</w:t>
      </w:r>
    </w:p>
    <w:p>
      <w:pPr>
        <w:pStyle w:val="149"/>
        <w:numPr>
          <w:ilvl w:val="0"/>
          <w:numId w:val="0"/>
        </w:numPr>
        <w:spacing w:line="360" w:lineRule="auto"/>
        <w:ind w:firstLine="480" w:firstLineChars="200"/>
      </w:pPr>
      <w:r>
        <w:rPr>
          <w:rFonts w:hint="eastAsia"/>
        </w:rPr>
        <w:t>2）应包含阀模型、管路模型、气囊模型；</w:t>
      </w:r>
    </w:p>
    <w:p>
      <w:pPr>
        <w:pStyle w:val="149"/>
        <w:numPr>
          <w:ilvl w:val="0"/>
          <w:numId w:val="0"/>
        </w:numPr>
        <w:spacing w:line="360" w:lineRule="auto"/>
        <w:ind w:firstLine="480" w:firstLineChars="200"/>
      </w:pPr>
      <w:r>
        <w:rPr>
          <w:rFonts w:hint="eastAsia"/>
        </w:rPr>
        <w:t>3）模型参数可以在线配置；</w:t>
      </w:r>
    </w:p>
    <w:p>
      <w:pPr>
        <w:pStyle w:val="149"/>
        <w:numPr>
          <w:ilvl w:val="0"/>
          <w:numId w:val="0"/>
        </w:numPr>
        <w:spacing w:line="360" w:lineRule="auto"/>
        <w:ind w:firstLine="480" w:firstLineChars="200"/>
      </w:pPr>
      <w:r>
        <w:rPr>
          <w:rFonts w:hint="eastAsia"/>
        </w:rPr>
        <w:t>4）能够反映不同管路长度对建压响应时间的影响；</w:t>
      </w:r>
    </w:p>
    <w:p>
      <w:pPr>
        <w:pStyle w:val="149"/>
        <w:numPr>
          <w:ilvl w:val="0"/>
          <w:numId w:val="0"/>
        </w:numPr>
        <w:spacing w:line="360" w:lineRule="auto"/>
        <w:ind w:firstLine="480" w:firstLineChars="200"/>
      </w:pPr>
      <w:r>
        <w:rPr>
          <w:rFonts w:hint="eastAsia"/>
        </w:rPr>
        <w:t>5）能够匹配不同的气囊容积。</w:t>
      </w:r>
    </w:p>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5 其他设备要求</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5.1上位机电脑要求</w:t>
      </w:r>
    </w:p>
    <w:p>
      <w:pPr>
        <w:spacing w:line="360" w:lineRule="auto"/>
        <w:ind w:firstLine="480" w:firstLineChars="200"/>
        <w:outlineLvl w:val="2"/>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rPr>
        <w:tab/>
      </w:r>
      <w:r>
        <w:rPr>
          <w:rFonts w:hint="eastAsia" w:ascii="宋体" w:hAnsi="宋体" w:eastAsia="宋体" w:cs="宋体"/>
          <w:color w:val="000000"/>
          <w:sz w:val="24"/>
          <w:szCs w:val="24"/>
          <w:lang w:val="en-US" w:eastAsia="zh-CN"/>
        </w:rPr>
        <w:t xml:space="preserve">Ultra </w:t>
      </w: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 xml:space="preserve"> 255HX</w:t>
      </w:r>
      <w:r>
        <w:rPr>
          <w:rFonts w:hint="eastAsia" w:ascii="宋体" w:hAnsi="宋体" w:eastAsia="宋体" w:cs="宋体"/>
          <w:color w:val="000000"/>
          <w:sz w:val="24"/>
          <w:szCs w:val="24"/>
        </w:rPr>
        <w:t>以上处理器；</w:t>
      </w:r>
    </w:p>
    <w:p>
      <w:pPr>
        <w:spacing w:line="360" w:lineRule="auto"/>
        <w:ind w:firstLine="480" w:firstLineChars="200"/>
        <w:outlineLvl w:val="2"/>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rPr>
        <w:tab/>
      </w:r>
      <w:r>
        <w:rPr>
          <w:rFonts w:hint="eastAsia" w:ascii="宋体" w:hAnsi="宋体" w:eastAsia="宋体" w:cs="宋体"/>
          <w:color w:val="000000"/>
          <w:sz w:val="24"/>
          <w:szCs w:val="24"/>
        </w:rPr>
        <w:t>500G以上固态硬盘；</w:t>
      </w:r>
    </w:p>
    <w:p>
      <w:pPr>
        <w:spacing w:line="360" w:lineRule="auto"/>
        <w:ind w:firstLine="480" w:firstLineChars="200"/>
        <w:outlineLvl w:val="2"/>
        <w:rPr>
          <w:rFonts w:ascii="宋体" w:hAnsi="宋体" w:eastAsia="宋体" w:cs="宋体"/>
          <w:color w:val="000000"/>
          <w:sz w:val="24"/>
          <w:szCs w:val="24"/>
        </w:rPr>
      </w:pPr>
      <w:r>
        <w:rPr>
          <w:rFonts w:hint="eastAsia" w:ascii="宋体" w:hAnsi="宋体" w:eastAsia="宋体" w:cs="宋体"/>
          <w:color w:val="000000"/>
          <w:sz w:val="24"/>
          <w:szCs w:val="24"/>
        </w:rPr>
        <w:t>3）14寸及以上显示屏；</w:t>
      </w:r>
    </w:p>
    <w:p>
      <w:pPr>
        <w:spacing w:line="360" w:lineRule="auto"/>
        <w:ind w:firstLine="480" w:firstLineChars="200"/>
        <w:outlineLvl w:val="2"/>
        <w:rPr>
          <w:rFonts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rPr>
        <w:tab/>
      </w:r>
      <w:r>
        <w:rPr>
          <w:rFonts w:hint="eastAsia" w:ascii="宋体" w:hAnsi="宋体" w:eastAsia="宋体" w:cs="宋体"/>
          <w:color w:val="000000"/>
          <w:sz w:val="24"/>
          <w:szCs w:val="24"/>
        </w:rPr>
        <w:t>16G以上内存；</w:t>
      </w:r>
    </w:p>
    <w:p>
      <w:pPr>
        <w:spacing w:line="360" w:lineRule="auto"/>
        <w:ind w:firstLine="480" w:firstLineChars="200"/>
        <w:outlineLvl w:val="2"/>
        <w:rPr>
          <w:rFonts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rPr>
        <w:tab/>
      </w:r>
      <w:r>
        <w:rPr>
          <w:rFonts w:hint="eastAsia" w:ascii="宋体" w:hAnsi="宋体" w:eastAsia="宋体" w:cs="宋体"/>
          <w:color w:val="000000"/>
          <w:sz w:val="24"/>
          <w:szCs w:val="24"/>
        </w:rPr>
        <w:t>配置至少一块独立显卡，性能不低于GTX 1060；</w:t>
      </w:r>
    </w:p>
    <w:p>
      <w:pPr>
        <w:spacing w:line="360" w:lineRule="auto"/>
        <w:ind w:firstLine="480" w:firstLineChars="200"/>
        <w:outlineLvl w:val="2"/>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6）六台笔记本电脑</w:t>
      </w:r>
      <w:r>
        <w:rPr>
          <w:rFonts w:hint="eastAsia" w:ascii="宋体" w:hAnsi="宋体" w:eastAsia="宋体" w:cs="宋体"/>
          <w:color w:val="000000"/>
          <w:sz w:val="24"/>
          <w:szCs w:val="24"/>
          <w:lang w:eastAsia="zh-CN"/>
        </w:rPr>
        <w:t>；</w:t>
      </w:r>
    </w:p>
    <w:p>
      <w:pPr>
        <w:spacing w:line="360" w:lineRule="auto"/>
        <w:ind w:firstLine="480" w:firstLineChars="200"/>
        <w:outlineLvl w:val="2"/>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7）六台外设27寸及以上显示屏。</w:t>
      </w:r>
    </w:p>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6交钥匙工程服务要求</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6.1硬件系统设计和开发集成</w:t>
      </w:r>
    </w:p>
    <w:p>
      <w:pPr>
        <w:spacing w:line="300" w:lineRule="auto"/>
        <w:ind w:firstLine="480" w:firstLineChars="200"/>
        <w:rPr>
          <w:rFonts w:ascii="Times New Roman" w:hAnsi="Times New Roman" w:eastAsia="宋体"/>
          <w:sz w:val="24"/>
          <w:szCs w:val="24"/>
        </w:rPr>
      </w:pPr>
      <w:bookmarkStart w:id="71" w:name="_Hlk117626123"/>
      <w:r>
        <w:rPr>
          <w:rFonts w:hint="eastAsia" w:ascii="Times New Roman" w:hAnsi="Times New Roman" w:eastAsia="宋体"/>
          <w:sz w:val="24"/>
          <w:szCs w:val="24"/>
        </w:rPr>
        <w:t>中标方应根据招标方提供的待测控制器信息，合理的分配HIL系统的硬件资源，以此设计出HIL系统信号列表，并基于信号列表完成整个硬件系统的集成。</w:t>
      </w:r>
    </w:p>
    <w:p>
      <w:pPr>
        <w:spacing w:line="360" w:lineRule="auto"/>
        <w:outlineLvl w:val="3"/>
        <w:rPr>
          <w:rFonts w:ascii="Times New Roman" w:hAnsi="Times New Roman" w:eastAsia="宋体" w:cs="Times New Roman"/>
          <w:b/>
          <w:bCs/>
          <w:sz w:val="24"/>
          <w:szCs w:val="24"/>
        </w:rPr>
      </w:pPr>
      <w:bookmarkStart w:id="72" w:name="_Toc30687"/>
      <w:r>
        <w:rPr>
          <w:rFonts w:hint="eastAsia" w:ascii="Times New Roman" w:hAnsi="Times New Roman" w:eastAsia="宋体" w:cs="Times New Roman"/>
          <w:b/>
          <w:bCs/>
          <w:sz w:val="24"/>
          <w:szCs w:val="24"/>
        </w:rPr>
        <w:t>6.2  I/O模型开发和配置</w:t>
      </w:r>
      <w:bookmarkEnd w:id="72"/>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上位机I/O模型的开发实现对HIL系统I/O进行准确的配置，开发后的I/O模型应符合下述要求：</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准确实现模型输入、输出与实际物理信号的映射关系；</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准确实现每个物理信号与电信号的对应关系（传感器、执行器）；</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设置信号标签以便于信号跟踪；</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对测试的重点信号设置手动输入开关，可在虚拟操作界面中选择手动输入功能。</w:t>
      </w:r>
    </w:p>
    <w:p>
      <w:pPr>
        <w:spacing w:line="360" w:lineRule="auto"/>
        <w:outlineLvl w:val="3"/>
        <w:rPr>
          <w:rFonts w:ascii="Times New Roman" w:hAnsi="Times New Roman" w:eastAsia="宋体" w:cs="Times New Roman"/>
          <w:b/>
          <w:bCs/>
          <w:sz w:val="24"/>
          <w:szCs w:val="24"/>
        </w:rPr>
      </w:pPr>
      <w:bookmarkStart w:id="73" w:name="_Toc25005"/>
      <w:r>
        <w:rPr>
          <w:rFonts w:hint="eastAsia" w:ascii="Times New Roman" w:hAnsi="Times New Roman" w:eastAsia="宋体" w:cs="Times New Roman"/>
          <w:b/>
          <w:bCs/>
          <w:sz w:val="24"/>
          <w:szCs w:val="24"/>
        </w:rPr>
        <w:t>6.3 车辆模型定制和参数化</w:t>
      </w:r>
      <w:bookmarkEnd w:id="73"/>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中标方根据招标方提供车型的结构，基于车辆标准模型库对车辆各子系统模型进行定制开发，并根据招标方提供的车辆数据对模型进行参数化，使模型可以反映车辆的特性和功能，以满足控制器的测试需求。</w:t>
      </w:r>
    </w:p>
    <w:p>
      <w:pPr>
        <w:spacing w:line="360" w:lineRule="auto"/>
        <w:outlineLvl w:val="3"/>
        <w:rPr>
          <w:rFonts w:ascii="Times New Roman" w:hAnsi="Times New Roman" w:eastAsia="宋体" w:cs="Times New Roman"/>
          <w:b/>
          <w:bCs/>
          <w:sz w:val="24"/>
          <w:szCs w:val="24"/>
        </w:rPr>
      </w:pPr>
      <w:bookmarkStart w:id="74" w:name="_Toc504663872"/>
      <w:bookmarkStart w:id="75" w:name="_Toc29246"/>
      <w:r>
        <w:rPr>
          <w:rFonts w:hint="eastAsia" w:ascii="Times New Roman" w:hAnsi="Times New Roman" w:eastAsia="宋体" w:cs="Times New Roman"/>
          <w:b/>
          <w:bCs/>
          <w:sz w:val="24"/>
          <w:szCs w:val="24"/>
        </w:rPr>
        <w:t>6.4 虚拟控制节点模型开发</w:t>
      </w:r>
      <w:bookmarkEnd w:id="74"/>
      <w:bookmarkEnd w:id="75"/>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对于与待测控制器功能相关的控制节点，中标方应开发相应的虚拟节点模型，实现与待测控制器的交互功能仿真，通过通信板卡发送待测控制器所需的通信报文，满足待测控制器的子系统HIL闭环测试的需要。</w:t>
      </w:r>
    </w:p>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6.5 试验监控界面开发</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投标方基于HIL上位机软件开发具备人机交互功能的试验监控界面，试验监控界面至少包括：</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虚拟驾驶操作界面，允许用户实现基本的驾驶员输入，包括加速踏板、制动踏板、点火钥匙、开关输入等；</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整车模型状态显示和重要参数修改界面；</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传感器状态监控界面，可完成手动信号和模型信号的切换；</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执行机构状态监控界面；</w:t>
      </w:r>
    </w:p>
    <w:p>
      <w:pPr>
        <w:spacing w:line="30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CAN报文显示和监控界面。</w:t>
      </w:r>
    </w:p>
    <w:p>
      <w:pPr>
        <w:spacing w:line="360" w:lineRule="auto"/>
        <w:outlineLvl w:val="3"/>
        <w:rPr>
          <w:rFonts w:ascii="Times New Roman" w:hAnsi="Times New Roman" w:eastAsia="宋体" w:cs="Times New Roman"/>
          <w:b/>
          <w:bCs/>
          <w:sz w:val="24"/>
          <w:szCs w:val="24"/>
        </w:rPr>
      </w:pPr>
      <w:bookmarkStart w:id="76" w:name="_Toc504663875"/>
      <w:bookmarkStart w:id="77" w:name="_Toc22994"/>
      <w:r>
        <w:rPr>
          <w:rFonts w:hint="eastAsia" w:ascii="Times New Roman" w:hAnsi="Times New Roman" w:eastAsia="宋体" w:cs="Times New Roman"/>
          <w:b/>
          <w:bCs/>
          <w:sz w:val="24"/>
          <w:szCs w:val="24"/>
        </w:rPr>
        <w:t>6.6 系统集成调试</w:t>
      </w:r>
      <w:bookmarkEnd w:id="76"/>
      <w:bookmarkEnd w:id="77"/>
    </w:p>
    <w:p>
      <w:pPr>
        <w:spacing w:line="300" w:lineRule="auto"/>
        <w:ind w:firstLine="480" w:firstLineChars="200"/>
      </w:pPr>
      <w:r>
        <w:rPr>
          <w:rFonts w:hint="eastAsia" w:ascii="Times New Roman" w:hAnsi="Times New Roman" w:eastAsia="宋体"/>
          <w:sz w:val="24"/>
          <w:szCs w:val="24"/>
        </w:rPr>
        <w:t>中标方应将待测控制器与HIL测试系统进行集成并进行调试使之达到终验收中的闭环测试工况要求。</w:t>
      </w:r>
    </w:p>
    <w:bookmarkEnd w:id="71"/>
    <w:p>
      <w:pPr>
        <w:spacing w:line="360" w:lineRule="auto"/>
        <w:outlineLvl w:val="3"/>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6.7系统培训</w:t>
      </w:r>
    </w:p>
    <w:p>
      <w:pPr>
        <w:spacing w:line="30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中标方应提供相关培训使得招标方技术人员能理解和掌握系统各部分的原理和结构，达到正确使用和操作，并独立完成各项实验及维修工作。</w:t>
      </w:r>
    </w:p>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7技术培训要求</w:t>
      </w:r>
    </w:p>
    <w:p>
      <w:pPr>
        <w:spacing w:line="30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为了使得设备使用方能够正确使用和操作本设备，</w:t>
      </w:r>
      <w:r>
        <w:rPr>
          <w:rFonts w:hint="eastAsia" w:ascii="Times New Roman" w:hAnsi="Times New Roman" w:eastAsia="宋体" w:cs="Times New Roman"/>
          <w:sz w:val="24"/>
          <w:szCs w:val="24"/>
          <w:highlight w:val="yellow"/>
        </w:rPr>
        <w:t>中标方需提供不少于</w:t>
      </w:r>
      <w:r>
        <w:rPr>
          <w:rFonts w:ascii="Times New Roman" w:hAnsi="Times New Roman" w:eastAsia="宋体" w:cs="Times New Roman"/>
          <w:sz w:val="24"/>
          <w:szCs w:val="24"/>
          <w:highlight w:val="yellow"/>
        </w:rPr>
        <w:t>5</w:t>
      </w:r>
      <w:r>
        <w:rPr>
          <w:rFonts w:hint="eastAsia" w:ascii="Times New Roman" w:hAnsi="Times New Roman" w:eastAsia="宋体" w:cs="Times New Roman"/>
          <w:sz w:val="24"/>
          <w:szCs w:val="24"/>
          <w:highlight w:val="yellow"/>
        </w:rPr>
        <w:t>天的技术</w:t>
      </w:r>
      <w:r>
        <w:rPr>
          <w:rFonts w:hint="eastAsia" w:ascii="Times New Roman" w:hAnsi="Times New Roman" w:eastAsia="宋体" w:cs="Times New Roman"/>
          <w:sz w:val="24"/>
          <w:szCs w:val="24"/>
        </w:rPr>
        <w:t>培训，至少包括如下培训内容：</w:t>
      </w:r>
    </w:p>
    <w:tbl>
      <w:tblPr>
        <w:tblStyle w:val="1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5245"/>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line="300" w:lineRule="auto"/>
              <w:jc w:val="center"/>
              <w:rPr>
                <w:rFonts w:ascii="Times New Roman" w:hAnsi="Times New Roman" w:eastAsia="黑体" w:cs="Times New Roman"/>
                <w:kern w:val="0"/>
                <w:sz w:val="24"/>
                <w:szCs w:val="20"/>
              </w:rPr>
            </w:pPr>
            <w:r>
              <w:rPr>
                <w:rFonts w:hint="eastAsia" w:ascii="Times New Roman" w:hAnsi="Times New Roman" w:eastAsia="黑体" w:cs="Times New Roman"/>
                <w:kern w:val="0"/>
                <w:sz w:val="24"/>
                <w:szCs w:val="20"/>
              </w:rPr>
              <w:t>项目</w:t>
            </w:r>
          </w:p>
        </w:tc>
        <w:tc>
          <w:tcPr>
            <w:tcW w:w="5245" w:type="dxa"/>
          </w:tcPr>
          <w:p>
            <w:pPr>
              <w:spacing w:line="300" w:lineRule="auto"/>
              <w:jc w:val="center"/>
              <w:rPr>
                <w:rFonts w:ascii="Times New Roman" w:hAnsi="Times New Roman" w:eastAsia="黑体" w:cs="Times New Roman"/>
                <w:kern w:val="0"/>
                <w:sz w:val="24"/>
                <w:szCs w:val="20"/>
              </w:rPr>
            </w:pPr>
            <w:r>
              <w:rPr>
                <w:rFonts w:hint="eastAsia" w:ascii="Times New Roman" w:hAnsi="Times New Roman" w:eastAsia="黑体" w:cs="Times New Roman"/>
                <w:kern w:val="0"/>
                <w:sz w:val="24"/>
                <w:szCs w:val="20"/>
              </w:rPr>
              <w:t>培训目标</w:t>
            </w:r>
          </w:p>
        </w:tc>
        <w:tc>
          <w:tcPr>
            <w:tcW w:w="1638" w:type="dxa"/>
          </w:tcPr>
          <w:p>
            <w:pPr>
              <w:spacing w:line="300" w:lineRule="auto"/>
              <w:jc w:val="center"/>
              <w:rPr>
                <w:rFonts w:ascii="Times New Roman" w:hAnsi="Times New Roman" w:eastAsia="黑体" w:cs="Times New Roman"/>
                <w:kern w:val="0"/>
                <w:sz w:val="24"/>
                <w:szCs w:val="20"/>
              </w:rPr>
            </w:pPr>
            <w:r>
              <w:rPr>
                <w:rFonts w:hint="eastAsia" w:ascii="Times New Roman" w:hAnsi="Times New Roman" w:eastAsia="黑体" w:cs="Times New Roman"/>
                <w:kern w:val="0"/>
                <w:sz w:val="24"/>
                <w:szCs w:val="20"/>
              </w:rPr>
              <w:t>培训时间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spacing w:line="300" w:lineRule="auto"/>
              <w:rPr>
                <w:rFonts w:ascii="Times New Roman" w:hAnsi="Times New Roman" w:eastAsia="宋体" w:cs="Times New Roman"/>
                <w:kern w:val="0"/>
                <w:szCs w:val="20"/>
              </w:rPr>
            </w:pPr>
            <w:r>
              <w:rPr>
                <w:rFonts w:hint="eastAsia" w:ascii="Times New Roman" w:hAnsi="Times New Roman" w:eastAsia="宋体" w:cs="Times New Roman"/>
                <w:kern w:val="0"/>
                <w:szCs w:val="20"/>
              </w:rPr>
              <w:t>硬件培训</w:t>
            </w:r>
          </w:p>
        </w:tc>
        <w:tc>
          <w:tcPr>
            <w:tcW w:w="5245" w:type="dxa"/>
          </w:tcPr>
          <w:p>
            <w:pPr>
              <w:spacing w:line="300" w:lineRule="auto"/>
              <w:rPr>
                <w:rFonts w:ascii="Times New Roman" w:hAnsi="Times New Roman" w:eastAsia="宋体" w:cs="Times New Roman"/>
                <w:kern w:val="0"/>
                <w:szCs w:val="20"/>
              </w:rPr>
            </w:pPr>
            <w:r>
              <w:rPr>
                <w:rFonts w:hint="eastAsia" w:ascii="Times New Roman" w:hAnsi="Times New Roman" w:eastAsia="宋体" w:cs="Times New Roman"/>
                <w:kern w:val="0"/>
                <w:szCs w:val="20"/>
              </w:rPr>
              <w:t>使用户理解硬件系统结构原理，硬件系统信号列表使用和修改方法，掌握硬件配置更改方法；</w:t>
            </w:r>
          </w:p>
        </w:tc>
        <w:tc>
          <w:tcPr>
            <w:tcW w:w="1638" w:type="dxa"/>
            <w:vAlign w:val="center"/>
          </w:tcPr>
          <w:p>
            <w:pPr>
              <w:spacing w:line="300" w:lineRule="auto"/>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vAlign w:val="center"/>
          </w:tcPr>
          <w:p>
            <w:pPr>
              <w:spacing w:line="300" w:lineRule="auto"/>
              <w:rPr>
                <w:rFonts w:ascii="Times New Roman" w:hAnsi="Times New Roman" w:eastAsia="宋体" w:cs="Times New Roman"/>
                <w:kern w:val="0"/>
                <w:szCs w:val="20"/>
              </w:rPr>
            </w:pPr>
            <w:r>
              <w:rPr>
                <w:rFonts w:hint="eastAsia" w:ascii="Times New Roman" w:hAnsi="Times New Roman" w:eastAsia="宋体" w:cs="Times New Roman"/>
                <w:kern w:val="0"/>
                <w:szCs w:val="20"/>
              </w:rPr>
              <w:t>软件培训</w:t>
            </w:r>
          </w:p>
        </w:tc>
        <w:tc>
          <w:tcPr>
            <w:tcW w:w="5245" w:type="dxa"/>
          </w:tcPr>
          <w:p>
            <w:pPr>
              <w:spacing w:line="300" w:lineRule="auto"/>
              <w:rPr>
                <w:rFonts w:ascii="Times New Roman" w:hAnsi="Times New Roman" w:eastAsia="宋体" w:cs="Times New Roman"/>
                <w:kern w:val="0"/>
                <w:szCs w:val="20"/>
              </w:rPr>
            </w:pPr>
            <w:r>
              <w:rPr>
                <w:rFonts w:hint="eastAsia" w:ascii="Times New Roman" w:hAnsi="Times New Roman" w:eastAsia="宋体" w:cs="Times New Roman"/>
                <w:kern w:val="0"/>
                <w:szCs w:val="20"/>
              </w:rPr>
              <w:t>使用户掌握软件安装方法和使用方法</w:t>
            </w:r>
          </w:p>
        </w:tc>
        <w:tc>
          <w:tcPr>
            <w:tcW w:w="1638" w:type="dxa"/>
            <w:vAlign w:val="center"/>
          </w:tcPr>
          <w:p>
            <w:pPr>
              <w:spacing w:line="300" w:lineRule="auto"/>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4天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spacing w:line="300" w:lineRule="auto"/>
              <w:rPr>
                <w:rFonts w:ascii="Times New Roman" w:hAnsi="Times New Roman" w:eastAsia="宋体" w:cs="Times New Roman"/>
                <w:kern w:val="0"/>
                <w:szCs w:val="20"/>
              </w:rPr>
            </w:pPr>
            <w:r>
              <w:rPr>
                <w:rFonts w:hint="eastAsia" w:ascii="Times New Roman" w:hAnsi="Times New Roman" w:eastAsia="宋体" w:cs="Times New Roman"/>
                <w:kern w:val="0"/>
                <w:szCs w:val="20"/>
              </w:rPr>
              <w:t>模型培训</w:t>
            </w:r>
          </w:p>
        </w:tc>
        <w:tc>
          <w:tcPr>
            <w:tcW w:w="5245" w:type="dxa"/>
          </w:tcPr>
          <w:p>
            <w:pPr>
              <w:spacing w:line="300" w:lineRule="auto"/>
              <w:rPr>
                <w:rFonts w:ascii="Times New Roman" w:hAnsi="Times New Roman" w:eastAsia="宋体" w:cs="Times New Roman"/>
                <w:kern w:val="0"/>
                <w:szCs w:val="20"/>
              </w:rPr>
            </w:pPr>
            <w:r>
              <w:rPr>
                <w:rFonts w:hint="eastAsia" w:ascii="Times New Roman" w:hAnsi="Times New Roman" w:eastAsia="宋体" w:cs="Times New Roman"/>
                <w:kern w:val="0"/>
                <w:szCs w:val="20"/>
              </w:rPr>
              <w:t>使用户理解模型建模原理，掌握使用方法</w:t>
            </w:r>
          </w:p>
        </w:tc>
        <w:tc>
          <w:tcPr>
            <w:tcW w:w="1638" w:type="dxa"/>
            <w:vAlign w:val="center"/>
          </w:tcPr>
          <w:p>
            <w:pPr>
              <w:spacing w:line="300" w:lineRule="auto"/>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spacing w:line="300" w:lineRule="auto"/>
              <w:rPr>
                <w:rFonts w:ascii="Times New Roman" w:hAnsi="Times New Roman" w:eastAsia="宋体" w:cs="Times New Roman"/>
                <w:kern w:val="0"/>
                <w:szCs w:val="20"/>
              </w:rPr>
            </w:pPr>
            <w:r>
              <w:rPr>
                <w:rFonts w:hint="eastAsia" w:ascii="Times New Roman" w:hAnsi="Times New Roman" w:eastAsia="宋体" w:cs="Times New Roman"/>
                <w:kern w:val="0"/>
                <w:szCs w:val="20"/>
              </w:rPr>
              <w:t>系统培训</w:t>
            </w:r>
          </w:p>
        </w:tc>
        <w:tc>
          <w:tcPr>
            <w:tcW w:w="5245" w:type="dxa"/>
          </w:tcPr>
          <w:p>
            <w:pPr>
              <w:spacing w:line="300" w:lineRule="auto"/>
              <w:rPr>
                <w:rFonts w:ascii="Times New Roman" w:hAnsi="Times New Roman" w:eastAsia="宋体" w:cs="Times New Roman"/>
                <w:kern w:val="0"/>
                <w:szCs w:val="20"/>
              </w:rPr>
            </w:pPr>
            <w:r>
              <w:rPr>
                <w:rFonts w:hint="eastAsia" w:ascii="Times New Roman" w:hAnsi="Times New Roman" w:eastAsia="宋体" w:cs="Times New Roman"/>
                <w:kern w:val="0"/>
                <w:szCs w:val="20"/>
              </w:rPr>
              <w:t>使用户熟悉本项目HIL系统的操作方法，可以独立进行手动和自动测试</w:t>
            </w:r>
          </w:p>
        </w:tc>
        <w:tc>
          <w:tcPr>
            <w:tcW w:w="1638" w:type="dxa"/>
            <w:vAlign w:val="center"/>
          </w:tcPr>
          <w:p>
            <w:pPr>
              <w:spacing w:line="300" w:lineRule="auto"/>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2天</w:t>
            </w:r>
          </w:p>
        </w:tc>
      </w:tr>
    </w:tbl>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8资料的提供</w:t>
      </w:r>
    </w:p>
    <w:p>
      <w:pPr>
        <w:spacing w:line="30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中标方应</w:t>
      </w:r>
      <w:r>
        <w:rPr>
          <w:rFonts w:hint="eastAsia" w:ascii="Times New Roman" w:hAnsi="Times New Roman" w:eastAsia="宋体" w:cs="Times New Roman"/>
          <w:sz w:val="24"/>
          <w:szCs w:val="21"/>
        </w:rPr>
        <w:t>在项目终验收前</w:t>
      </w:r>
      <w:r>
        <w:rPr>
          <w:rFonts w:ascii="Times New Roman" w:hAnsi="Times New Roman" w:eastAsia="宋体" w:cs="Times New Roman"/>
          <w:sz w:val="24"/>
          <w:szCs w:val="21"/>
        </w:rPr>
        <w:t>提供以下文件资料：</w:t>
      </w:r>
    </w:p>
    <w:p>
      <w:pPr>
        <w:spacing w:line="360" w:lineRule="auto"/>
        <w:outlineLvl w:val="3"/>
        <w:rPr>
          <w:rFonts w:ascii="Times New Roman" w:hAnsi="Times New Roman" w:eastAsia="宋体" w:cs="Times New Roman"/>
          <w:b/>
          <w:bCs/>
          <w:sz w:val="24"/>
          <w:szCs w:val="24"/>
        </w:rPr>
      </w:pPr>
      <w:bookmarkStart w:id="78" w:name="_Toc58503504"/>
      <w:r>
        <w:rPr>
          <w:rFonts w:hint="eastAsia" w:ascii="Times New Roman" w:hAnsi="Times New Roman" w:eastAsia="宋体" w:cs="Times New Roman"/>
          <w:b/>
          <w:bCs/>
          <w:sz w:val="24"/>
          <w:szCs w:val="24"/>
        </w:rPr>
        <w:t>8.1硬件文档</w:t>
      </w:r>
      <w:bookmarkEnd w:id="78"/>
    </w:p>
    <w:p>
      <w:pPr>
        <w:spacing w:line="300" w:lineRule="auto"/>
        <w:ind w:left="480"/>
        <w:rPr>
          <w:rFonts w:ascii="Times New Roman" w:hAnsi="Times New Roman" w:eastAsia="宋体" w:cs="Times New Roman"/>
          <w:sz w:val="24"/>
          <w:szCs w:val="21"/>
        </w:rPr>
      </w:pPr>
      <w:r>
        <w:rPr>
          <w:rFonts w:hint="eastAsia" w:ascii="Times New Roman" w:hAnsi="Times New Roman" w:eastAsia="宋体" w:cs="Times New Roman"/>
          <w:sz w:val="24"/>
          <w:szCs w:val="21"/>
        </w:rPr>
        <w:t>1）系统硬件清单；</w:t>
      </w:r>
    </w:p>
    <w:p>
      <w:pPr>
        <w:spacing w:line="300" w:lineRule="auto"/>
        <w:ind w:left="480"/>
        <w:rPr>
          <w:rFonts w:ascii="Times New Roman" w:hAnsi="Times New Roman" w:eastAsia="宋体" w:cs="Times New Roman"/>
          <w:sz w:val="24"/>
          <w:szCs w:val="21"/>
        </w:rPr>
      </w:pPr>
      <w:r>
        <w:rPr>
          <w:rFonts w:hint="eastAsia" w:ascii="Times New Roman" w:hAnsi="Times New Roman" w:eastAsia="宋体" w:cs="Times New Roman"/>
          <w:sz w:val="24"/>
          <w:szCs w:val="21"/>
        </w:rPr>
        <w:t>2）系统信号列表；</w:t>
      </w:r>
    </w:p>
    <w:p>
      <w:pPr>
        <w:spacing w:line="300" w:lineRule="auto"/>
        <w:ind w:left="480"/>
        <w:rPr>
          <w:rFonts w:ascii="Times New Roman" w:hAnsi="Times New Roman" w:eastAsia="宋体" w:cs="Times New Roman"/>
          <w:sz w:val="24"/>
          <w:szCs w:val="21"/>
        </w:rPr>
      </w:pPr>
      <w:r>
        <w:rPr>
          <w:rFonts w:hint="eastAsia" w:ascii="Times New Roman" w:hAnsi="Times New Roman" w:eastAsia="宋体" w:cs="Times New Roman"/>
          <w:sz w:val="24"/>
          <w:szCs w:val="21"/>
        </w:rPr>
        <w:t>3）各个硬件板卡说明文档；</w:t>
      </w:r>
    </w:p>
    <w:p>
      <w:pPr>
        <w:spacing w:line="300" w:lineRule="auto"/>
        <w:ind w:left="480"/>
        <w:rPr>
          <w:rFonts w:ascii="Times New Roman" w:hAnsi="Times New Roman" w:eastAsia="宋体" w:cs="Times New Roman"/>
          <w:sz w:val="24"/>
          <w:szCs w:val="21"/>
        </w:rPr>
      </w:pPr>
      <w:r>
        <w:rPr>
          <w:rFonts w:hint="eastAsia" w:ascii="Times New Roman" w:hAnsi="Times New Roman" w:eastAsia="宋体" w:cs="Times New Roman"/>
          <w:sz w:val="24"/>
          <w:szCs w:val="21"/>
        </w:rPr>
        <w:t>4）激励测试报告；</w:t>
      </w:r>
    </w:p>
    <w:p>
      <w:pPr>
        <w:spacing w:line="300" w:lineRule="auto"/>
        <w:ind w:left="480"/>
        <w:rPr>
          <w:rFonts w:ascii="Times New Roman" w:hAnsi="Times New Roman" w:eastAsia="宋体" w:cs="Times New Roman"/>
          <w:sz w:val="24"/>
          <w:szCs w:val="21"/>
        </w:rPr>
      </w:pPr>
      <w:r>
        <w:rPr>
          <w:rFonts w:hint="eastAsia" w:ascii="Times New Roman" w:hAnsi="Times New Roman" w:eastAsia="宋体" w:cs="Times New Roman"/>
          <w:sz w:val="24"/>
          <w:szCs w:val="21"/>
        </w:rPr>
        <w:t>5）5条DEMO测试用例。</w:t>
      </w:r>
    </w:p>
    <w:p>
      <w:pPr>
        <w:spacing w:line="360" w:lineRule="auto"/>
        <w:outlineLvl w:val="3"/>
        <w:rPr>
          <w:rFonts w:ascii="Times New Roman" w:hAnsi="Times New Roman" w:eastAsia="宋体" w:cs="Times New Roman"/>
          <w:b/>
          <w:bCs/>
          <w:sz w:val="24"/>
          <w:szCs w:val="24"/>
        </w:rPr>
      </w:pPr>
      <w:bookmarkStart w:id="79" w:name="_Toc58503505"/>
      <w:r>
        <w:rPr>
          <w:rFonts w:hint="eastAsia" w:ascii="Times New Roman" w:hAnsi="Times New Roman" w:eastAsia="宋体" w:cs="Times New Roman"/>
          <w:b/>
          <w:bCs/>
          <w:sz w:val="24"/>
          <w:szCs w:val="24"/>
        </w:rPr>
        <w:t>8.2软件文档</w:t>
      </w:r>
      <w:bookmarkEnd w:id="79"/>
    </w:p>
    <w:p>
      <w:pPr>
        <w:numPr>
          <w:ilvl w:val="0"/>
          <w:numId w:val="34"/>
        </w:numPr>
        <w:spacing w:line="30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软件清单；</w:t>
      </w:r>
    </w:p>
    <w:p>
      <w:pPr>
        <w:numPr>
          <w:ilvl w:val="0"/>
          <w:numId w:val="34"/>
        </w:numPr>
        <w:spacing w:line="30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各个软件说明文档。</w:t>
      </w:r>
    </w:p>
    <w:p>
      <w:pPr>
        <w:spacing w:line="360" w:lineRule="auto"/>
        <w:outlineLvl w:val="3"/>
        <w:rPr>
          <w:rFonts w:ascii="Times New Roman" w:hAnsi="Times New Roman" w:eastAsia="宋体" w:cs="Times New Roman"/>
          <w:b/>
          <w:bCs/>
          <w:sz w:val="24"/>
          <w:szCs w:val="24"/>
        </w:rPr>
      </w:pPr>
      <w:bookmarkStart w:id="80" w:name="_Toc58503503"/>
      <w:r>
        <w:rPr>
          <w:rFonts w:hint="eastAsia" w:ascii="Times New Roman" w:hAnsi="Times New Roman" w:eastAsia="宋体" w:cs="Times New Roman"/>
          <w:b/>
          <w:bCs/>
          <w:sz w:val="24"/>
          <w:szCs w:val="24"/>
        </w:rPr>
        <w:t>8.3系统文档</w:t>
      </w:r>
      <w:bookmarkEnd w:id="80"/>
    </w:p>
    <w:p>
      <w:pPr>
        <w:numPr>
          <w:ilvl w:val="0"/>
          <w:numId w:val="35"/>
        </w:numPr>
        <w:spacing w:line="30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系统使用说明书；</w:t>
      </w:r>
    </w:p>
    <w:p>
      <w:pPr>
        <w:numPr>
          <w:ilvl w:val="0"/>
          <w:numId w:val="35"/>
        </w:numPr>
        <w:spacing w:line="30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相关培训教材；</w:t>
      </w:r>
    </w:p>
    <w:p>
      <w:pPr>
        <w:numPr>
          <w:ilvl w:val="0"/>
          <w:numId w:val="35"/>
        </w:numPr>
        <w:spacing w:line="30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系统合格证；</w:t>
      </w:r>
    </w:p>
    <w:p>
      <w:pPr>
        <w:numPr>
          <w:ilvl w:val="0"/>
          <w:numId w:val="35"/>
        </w:numPr>
        <w:spacing w:line="300" w:lineRule="auto"/>
        <w:ind w:left="0"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系统终验收报告。</w:t>
      </w:r>
    </w:p>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9交货期要求</w:t>
      </w:r>
    </w:p>
    <w:p>
      <w:pPr>
        <w:spacing w:line="30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highlight w:val="yellow"/>
        </w:rPr>
        <w:t>合同签订后5个月内完成设备验收并将设备交付至招标方指定使用场地。</w:t>
      </w:r>
    </w:p>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10项目验收要求</w:t>
      </w:r>
    </w:p>
    <w:p>
      <w:pPr>
        <w:spacing w:line="30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项目验收分预验收和终验收两个阶段，预验收在设备提供方现场进行，终验收在招标方现场进行。</w:t>
      </w:r>
    </w:p>
    <w:p>
      <w:pPr>
        <w:spacing w:line="360" w:lineRule="auto"/>
        <w:outlineLvl w:val="3"/>
        <w:rPr>
          <w:rFonts w:ascii="Times New Roman" w:hAnsi="Times New Roman" w:eastAsia="宋体" w:cs="Times New Roman"/>
          <w:b/>
          <w:bCs/>
          <w:sz w:val="24"/>
          <w:szCs w:val="24"/>
        </w:rPr>
      </w:pPr>
      <w:bookmarkStart w:id="81" w:name="_Toc58503511"/>
      <w:bookmarkEnd w:id="81"/>
      <w:bookmarkStart w:id="82" w:name="_Toc58503509"/>
      <w:bookmarkEnd w:id="82"/>
      <w:bookmarkStart w:id="83" w:name="_Toc58503510"/>
      <w:bookmarkEnd w:id="83"/>
      <w:bookmarkStart w:id="84" w:name="_Toc58503513"/>
      <w:bookmarkEnd w:id="84"/>
      <w:bookmarkStart w:id="85" w:name="_Toc58503514"/>
      <w:bookmarkEnd w:id="85"/>
      <w:bookmarkStart w:id="86" w:name="_Toc58503512"/>
      <w:bookmarkEnd w:id="86"/>
      <w:bookmarkStart w:id="87" w:name="_Toc58503517"/>
      <w:r>
        <w:rPr>
          <w:rFonts w:hint="eastAsia" w:ascii="Times New Roman" w:hAnsi="Times New Roman" w:eastAsia="宋体" w:cs="Times New Roman"/>
          <w:b/>
          <w:bCs/>
          <w:sz w:val="24"/>
          <w:szCs w:val="24"/>
        </w:rPr>
        <w:t>10.1终验收内容</w:t>
      </w:r>
      <w:bookmarkEnd w:id="87"/>
    </w:p>
    <w:p>
      <w:pPr>
        <w:numPr>
          <w:ilvl w:val="1"/>
          <w:numId w:val="0"/>
        </w:numPr>
        <w:tabs>
          <w:tab w:val="left" w:pos="454"/>
        </w:tabs>
        <w:spacing w:line="360" w:lineRule="auto"/>
        <w:outlineLvl w:val="4"/>
        <w:rPr>
          <w:rFonts w:ascii="Times New Roman" w:hAnsi="Times New Roman" w:eastAsia="宋体" w:cs="Times New Roman"/>
          <w:sz w:val="24"/>
          <w:szCs w:val="24"/>
        </w:rPr>
      </w:pPr>
      <w:bookmarkStart w:id="88" w:name="_Toc58503518"/>
      <w:r>
        <w:rPr>
          <w:rFonts w:hint="eastAsia" w:ascii="Times New Roman" w:hAnsi="Times New Roman" w:eastAsia="宋体" w:cs="Times New Roman"/>
          <w:sz w:val="24"/>
          <w:szCs w:val="24"/>
        </w:rPr>
        <w:t>10.1.1系统完整性验收</w:t>
      </w:r>
      <w:bookmarkEnd w:id="88"/>
    </w:p>
    <w:p>
      <w:pPr>
        <w:spacing w:line="30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对照技术协议中的供货范围，对提交的设备进行确认，主要包括系统硬件、系统软件等方面。</w:t>
      </w:r>
    </w:p>
    <w:p>
      <w:pPr>
        <w:numPr>
          <w:ilvl w:val="1"/>
          <w:numId w:val="0"/>
        </w:numPr>
        <w:tabs>
          <w:tab w:val="left" w:pos="454"/>
        </w:tabs>
        <w:spacing w:line="360" w:lineRule="auto"/>
        <w:outlineLvl w:val="4"/>
        <w:rPr>
          <w:rFonts w:ascii="Times New Roman" w:hAnsi="Times New Roman" w:eastAsia="宋体" w:cs="Times New Roman"/>
          <w:sz w:val="24"/>
          <w:szCs w:val="24"/>
        </w:rPr>
      </w:pPr>
      <w:bookmarkStart w:id="89" w:name="_Toc58503519"/>
      <w:r>
        <w:rPr>
          <w:rFonts w:hint="eastAsia" w:ascii="Times New Roman" w:hAnsi="Times New Roman" w:eastAsia="宋体" w:cs="Times New Roman"/>
          <w:sz w:val="24"/>
          <w:szCs w:val="24"/>
        </w:rPr>
        <w:t>10.1.2预验收遗留问题确认</w:t>
      </w:r>
      <w:bookmarkEnd w:id="89"/>
    </w:p>
    <w:p>
      <w:pPr>
        <w:spacing w:line="30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对预验收过程中遗留的问题进行确认。</w:t>
      </w:r>
    </w:p>
    <w:p>
      <w:pPr>
        <w:numPr>
          <w:ilvl w:val="1"/>
          <w:numId w:val="0"/>
        </w:numPr>
        <w:tabs>
          <w:tab w:val="left" w:pos="454"/>
        </w:tabs>
        <w:spacing w:line="360" w:lineRule="auto"/>
        <w:outlineLvl w:val="4"/>
        <w:rPr>
          <w:rFonts w:ascii="Times New Roman" w:hAnsi="Times New Roman" w:eastAsia="宋体" w:cs="Times New Roman"/>
          <w:sz w:val="24"/>
          <w:szCs w:val="24"/>
        </w:rPr>
      </w:pPr>
      <w:bookmarkStart w:id="90" w:name="_Toc58503521"/>
      <w:bookmarkStart w:id="91" w:name="_Toc466562404"/>
      <w:r>
        <w:rPr>
          <w:rFonts w:hint="eastAsia" w:ascii="Times New Roman" w:hAnsi="Times New Roman" w:eastAsia="宋体" w:cs="Times New Roman"/>
          <w:sz w:val="24"/>
          <w:szCs w:val="24"/>
        </w:rPr>
        <w:t>10.1.3技术资料提交与确认</w:t>
      </w:r>
      <w:bookmarkEnd w:id="90"/>
      <w:bookmarkEnd w:id="91"/>
    </w:p>
    <w:p>
      <w:pPr>
        <w:spacing w:line="30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对提交的项目工程文件和文档资料进行确认。</w:t>
      </w:r>
    </w:p>
    <w:p>
      <w:pPr>
        <w:spacing w:line="360" w:lineRule="auto"/>
        <w:outlineLvl w:val="2"/>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11质保与售后</w:t>
      </w:r>
    </w:p>
    <w:p>
      <w:pPr>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质保期为终验收报告签署生效之日起12个月，质保期内：</w:t>
      </w:r>
    </w:p>
    <w:p>
      <w:pPr>
        <w:numPr>
          <w:ilvl w:val="0"/>
          <w:numId w:val="3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软件自license生效之日起12个月内免费提供软件升级服务；</w:t>
      </w:r>
    </w:p>
    <w:p>
      <w:pPr>
        <w:numPr>
          <w:ilvl w:val="0"/>
          <w:numId w:val="3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质保期结束前提供一次系统维护服务，保证系统运行；</w:t>
      </w:r>
    </w:p>
    <w:p>
      <w:pPr>
        <w:numPr>
          <w:ilvl w:val="0"/>
          <w:numId w:val="3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对于非人为损坏的部件应给与免费维修或更换；</w:t>
      </w:r>
    </w:p>
    <w:p>
      <w:pPr>
        <w:numPr>
          <w:ilvl w:val="0"/>
          <w:numId w:val="36"/>
        </w:numPr>
        <w:spacing w:line="360" w:lineRule="auto"/>
        <w:rPr>
          <w:rFonts w:ascii="Times New Roman" w:hAnsi="Times New Roman" w:eastAsia="宋体" w:cs="Times New Roman"/>
          <w:sz w:val="24"/>
          <w:szCs w:val="21"/>
          <w:highlight w:val="yellow"/>
        </w:rPr>
      </w:pPr>
      <w:r>
        <w:rPr>
          <w:rFonts w:hint="eastAsia" w:ascii="Times New Roman" w:hAnsi="Times New Roman" w:eastAsia="宋体" w:cs="Times New Roman"/>
          <w:sz w:val="24"/>
          <w:szCs w:val="21"/>
          <w:highlight w:val="yellow"/>
        </w:rPr>
        <w:t>对系统使用过程中发生的故障应在收到招标方通知后</w:t>
      </w:r>
      <w:r>
        <w:rPr>
          <w:rFonts w:ascii="Times New Roman" w:hAnsi="Times New Roman" w:eastAsia="宋体" w:cs="Times New Roman"/>
          <w:sz w:val="24"/>
          <w:szCs w:val="21"/>
          <w:highlight w:val="yellow"/>
        </w:rPr>
        <w:t>24</w:t>
      </w:r>
      <w:r>
        <w:rPr>
          <w:rFonts w:hint="eastAsia" w:ascii="Times New Roman" w:hAnsi="Times New Roman" w:eastAsia="宋体" w:cs="Times New Roman"/>
          <w:sz w:val="24"/>
          <w:szCs w:val="21"/>
          <w:highlight w:val="yellow"/>
        </w:rPr>
        <w:t>小时内进行响应，如确认无法远程排除故障，则要求在4</w:t>
      </w:r>
      <w:r>
        <w:rPr>
          <w:rFonts w:ascii="Times New Roman" w:hAnsi="Times New Roman" w:eastAsia="宋体" w:cs="Times New Roman"/>
          <w:sz w:val="24"/>
          <w:szCs w:val="21"/>
          <w:highlight w:val="yellow"/>
        </w:rPr>
        <w:t>8</w:t>
      </w:r>
      <w:r>
        <w:rPr>
          <w:rFonts w:hint="eastAsia" w:ascii="Times New Roman" w:hAnsi="Times New Roman" w:eastAsia="宋体" w:cs="Times New Roman"/>
          <w:sz w:val="24"/>
          <w:szCs w:val="21"/>
          <w:highlight w:val="yellow"/>
        </w:rPr>
        <w:t>小时内到现场进行故障排查；</w:t>
      </w:r>
    </w:p>
    <w:p>
      <w:pPr>
        <w:numPr>
          <w:ilvl w:val="0"/>
          <w:numId w:val="36"/>
        </w:numPr>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质保期外提供免费电话或邮件技术支持。</w:t>
      </w:r>
    </w:p>
    <w:p>
      <w:pPr>
        <w:spacing w:line="300" w:lineRule="auto"/>
        <w:ind w:firstLine="480" w:firstLineChars="200"/>
        <w:rPr>
          <w:rFonts w:ascii="Times New Roman" w:hAnsi="Times New Roman" w:eastAsia="宋体" w:cs="Times New Roman"/>
          <w:sz w:val="24"/>
          <w:szCs w:val="21"/>
        </w:rPr>
      </w:pPr>
    </w:p>
    <w:p>
      <w:pPr>
        <w:spacing w:line="360" w:lineRule="auto"/>
        <w:ind w:firstLine="480" w:firstLineChars="200"/>
        <w:rPr>
          <w:rFonts w:ascii="Times New Roman" w:hAnsi="Times New Roman" w:eastAsia="宋体" w:cs="宋体"/>
          <w:sz w:val="24"/>
          <w:szCs w:val="24"/>
          <w:highlight w:val="yellow"/>
        </w:rPr>
      </w:pPr>
    </w:p>
    <w:p>
      <w:pPr>
        <w:spacing w:line="360" w:lineRule="auto"/>
        <w:ind w:firstLine="480" w:firstLineChars="200"/>
        <w:rPr>
          <w:rFonts w:ascii="Times New Roman" w:hAnsi="Times New Roman" w:eastAsia="宋体" w:cs="宋体"/>
          <w:sz w:val="24"/>
          <w:szCs w:val="24"/>
          <w:highlight w:val="yellow"/>
        </w:rPr>
      </w:pPr>
    </w:p>
    <w:p>
      <w:pPr>
        <w:spacing w:line="360" w:lineRule="auto"/>
        <w:ind w:firstLine="480" w:firstLineChars="200"/>
        <w:rPr>
          <w:rFonts w:ascii="Times New Roman" w:hAnsi="Times New Roman" w:eastAsia="宋体" w:cs="宋体"/>
          <w:sz w:val="24"/>
          <w:szCs w:val="24"/>
          <w:highlight w:val="yellow"/>
        </w:rPr>
      </w:pPr>
    </w:p>
    <w:p>
      <w:pPr>
        <w:spacing w:line="360" w:lineRule="auto"/>
        <w:ind w:firstLine="480" w:firstLineChars="200"/>
        <w:rPr>
          <w:rFonts w:ascii="Times New Roman" w:hAnsi="Times New Roman" w:eastAsia="宋体" w:cs="宋体"/>
          <w:sz w:val="24"/>
          <w:szCs w:val="24"/>
          <w:highlight w:val="yellow"/>
        </w:rPr>
      </w:pPr>
    </w:p>
    <w:bookmarkEnd w:id="31"/>
    <w:p>
      <w:pPr>
        <w:keepNext/>
        <w:keepLines/>
        <w:spacing w:before="120" w:after="120" w:line="480" w:lineRule="exact"/>
        <w:jc w:val="center"/>
        <w:outlineLvl w:val="1"/>
        <w:rPr>
          <w:rFonts w:ascii="Times New Roman" w:hAnsi="Times New Roman" w:eastAsia="宋体" w:cs="Times New Roman"/>
          <w:b/>
          <w:bCs/>
          <w:kern w:val="44"/>
          <w:sz w:val="28"/>
          <w:szCs w:val="28"/>
        </w:rPr>
      </w:pPr>
      <w:r>
        <w:rPr>
          <w:rFonts w:hint="eastAsia" w:ascii="Times New Roman" w:hAnsi="Times New Roman" w:eastAsia="宋体" w:cs="Times New Roman"/>
          <w:b/>
          <w:bCs/>
          <w:kern w:val="44"/>
          <w:sz w:val="28"/>
          <w:szCs w:val="28"/>
        </w:rPr>
        <w:t>第三章  供货范围及供货方式</w:t>
      </w:r>
    </w:p>
    <w:p>
      <w:pPr>
        <w:keepNext/>
        <w:keepLines/>
        <w:spacing w:line="360" w:lineRule="auto"/>
        <w:jc w:val="center"/>
        <w:outlineLvl w:val="2"/>
        <w:rPr>
          <w:rFonts w:ascii="Times New Roman" w:hAnsi="Times New Roman" w:eastAsia="宋体" w:cs="宋体"/>
          <w:b/>
          <w:bCs/>
          <w:sz w:val="24"/>
          <w:szCs w:val="32"/>
        </w:rPr>
      </w:pPr>
      <w:r>
        <w:rPr>
          <w:rFonts w:hint="eastAsia" w:ascii="Times New Roman" w:hAnsi="Times New Roman" w:eastAsia="宋体" w:cs="宋体"/>
          <w:b/>
          <w:bCs/>
          <w:sz w:val="24"/>
          <w:szCs w:val="32"/>
        </w:rPr>
        <w:t>第一节  供货范围</w:t>
      </w:r>
    </w:p>
    <w:p>
      <w:pPr>
        <w:spacing w:line="420" w:lineRule="exact"/>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一、供货范围</w:t>
      </w:r>
    </w:p>
    <w:tbl>
      <w:tblPr>
        <w:tblStyle w:val="39"/>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70" w:type="dxa"/>
          <w:bottom w:w="0" w:type="dxa"/>
          <w:right w:w="70" w:type="dxa"/>
        </w:tblCellMar>
      </w:tblPr>
      <w:tblGrid>
        <w:gridCol w:w="1030"/>
        <w:gridCol w:w="2741"/>
        <w:gridCol w:w="945"/>
        <w:gridCol w:w="44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485" w:hRule="atLeast"/>
          <w:tblHeader/>
        </w:trPr>
        <w:tc>
          <w:tcPr>
            <w:tcW w:w="559" w:type="pct"/>
            <w:shd w:val="pct10" w:color="auto" w:fill="FFFFFF"/>
            <w:vAlign w:val="center"/>
          </w:tcPr>
          <w:p>
            <w:pPr>
              <w:pStyle w:val="128"/>
              <w:adjustRightInd w:val="0"/>
              <w:snapToGrid w:val="0"/>
              <w:spacing w:beforeLines="0" w:afterLines="0"/>
              <w:jc w:val="center"/>
              <w:rPr>
                <w:rFonts w:ascii="Times New Roman" w:hAnsi="Times New Roman"/>
                <w:b/>
                <w:sz w:val="24"/>
              </w:rPr>
            </w:pPr>
            <w:r>
              <w:rPr>
                <w:rFonts w:hint="eastAsia" w:ascii="Times New Roman" w:hAnsi="Times New Roman"/>
                <w:b/>
                <w:sz w:val="24"/>
              </w:rPr>
              <w:t>序号</w:t>
            </w:r>
          </w:p>
        </w:tc>
        <w:tc>
          <w:tcPr>
            <w:tcW w:w="1488" w:type="pct"/>
            <w:shd w:val="pct10" w:color="auto" w:fill="FFFFFF"/>
            <w:vAlign w:val="center"/>
          </w:tcPr>
          <w:p>
            <w:pPr>
              <w:pStyle w:val="128"/>
              <w:adjustRightInd w:val="0"/>
              <w:snapToGrid w:val="0"/>
              <w:spacing w:beforeLines="0" w:afterLines="0"/>
              <w:jc w:val="center"/>
              <w:rPr>
                <w:rFonts w:ascii="Times New Roman" w:hAnsi="Times New Roman"/>
                <w:b/>
                <w:sz w:val="24"/>
              </w:rPr>
            </w:pPr>
            <w:r>
              <w:rPr>
                <w:rFonts w:hint="eastAsia" w:ascii="Times New Roman" w:hAnsi="Times New Roman"/>
                <w:b/>
                <w:sz w:val="24"/>
              </w:rPr>
              <w:t>名称</w:t>
            </w:r>
          </w:p>
        </w:tc>
        <w:tc>
          <w:tcPr>
            <w:tcW w:w="513" w:type="pct"/>
            <w:shd w:val="pct10" w:color="auto" w:fill="FFFFFF"/>
            <w:vAlign w:val="center"/>
          </w:tcPr>
          <w:p>
            <w:pPr>
              <w:pStyle w:val="128"/>
              <w:adjustRightInd w:val="0"/>
              <w:snapToGrid w:val="0"/>
              <w:spacing w:beforeLines="0" w:afterLines="0"/>
              <w:jc w:val="center"/>
              <w:rPr>
                <w:rFonts w:ascii="Times New Roman" w:hAnsi="Times New Roman"/>
                <w:b/>
                <w:sz w:val="24"/>
              </w:rPr>
            </w:pPr>
            <w:r>
              <w:rPr>
                <w:rFonts w:hint="eastAsia" w:ascii="Times New Roman" w:hAnsi="Times New Roman"/>
                <w:b/>
                <w:sz w:val="24"/>
              </w:rPr>
              <w:t>数量</w:t>
            </w:r>
          </w:p>
        </w:tc>
        <w:tc>
          <w:tcPr>
            <w:tcW w:w="2439" w:type="pct"/>
            <w:shd w:val="pct10" w:color="auto" w:fill="FFFFFF"/>
            <w:vAlign w:val="center"/>
          </w:tcPr>
          <w:p>
            <w:pPr>
              <w:pStyle w:val="128"/>
              <w:adjustRightInd w:val="0"/>
              <w:snapToGrid w:val="0"/>
              <w:spacing w:beforeLines="0" w:afterLines="0"/>
              <w:jc w:val="center"/>
              <w:rPr>
                <w:rFonts w:ascii="Times New Roman" w:hAnsi="Times New Roman"/>
                <w:b/>
                <w:sz w:val="24"/>
              </w:rPr>
            </w:pPr>
            <w:r>
              <w:rPr>
                <w:rFonts w:hint="eastAsia" w:ascii="Times New Roman" w:hAnsi="Times New Roman"/>
                <w:b/>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ascii="Times New Roman" w:hAnsi="Times New Roman"/>
              </w:rPr>
            </w:pPr>
            <w:r>
              <w:rPr>
                <w:rFonts w:ascii="Times New Roman" w:hAnsi="Times New Roman"/>
                <w:b/>
              </w:rPr>
              <w:t>1</w:t>
            </w:r>
          </w:p>
        </w:tc>
        <w:tc>
          <w:tcPr>
            <w:tcW w:w="1488" w:type="pct"/>
            <w:vAlign w:val="center"/>
          </w:tcPr>
          <w:p>
            <w:pPr>
              <w:pStyle w:val="128"/>
              <w:adjustRightInd w:val="0"/>
              <w:snapToGrid w:val="0"/>
              <w:spacing w:beforeLines="0" w:afterLines="0"/>
              <w:rPr>
                <w:rFonts w:hint="default" w:ascii="Times New Roman" w:hAnsi="Times New Roman" w:eastAsiaTheme="minorEastAsia"/>
                <w:szCs w:val="28"/>
                <w:lang w:val="en-US" w:eastAsia="zh-CN"/>
              </w:rPr>
            </w:pPr>
            <w:r>
              <w:rPr>
                <w:rFonts w:hint="eastAsia" w:ascii="Times New Roman" w:hAnsi="Times New Roman"/>
                <w:b/>
                <w:szCs w:val="28"/>
                <w:lang w:val="en-US" w:eastAsia="zh-CN"/>
              </w:rPr>
              <w:t>硬件平台</w:t>
            </w:r>
          </w:p>
        </w:tc>
        <w:tc>
          <w:tcPr>
            <w:tcW w:w="513" w:type="pct"/>
            <w:vAlign w:val="center"/>
          </w:tcPr>
          <w:p>
            <w:pPr>
              <w:pStyle w:val="128"/>
              <w:adjustRightInd w:val="0"/>
              <w:snapToGrid w:val="0"/>
              <w:spacing w:beforeLines="0" w:afterLines="0"/>
              <w:jc w:val="center"/>
              <w:rPr>
                <w:rFonts w:ascii="Times New Roman" w:hAnsi="Times New Roman"/>
                <w:b/>
              </w:rPr>
            </w:pPr>
            <w:r>
              <w:rPr>
                <w:rFonts w:hint="eastAsia" w:ascii="Times New Roman" w:hAnsi="Times New Roman" w:eastAsia="宋体"/>
                <w:b/>
              </w:rPr>
              <w:t>6</w:t>
            </w:r>
            <w:r>
              <w:rPr>
                <w:rFonts w:hint="eastAsia" w:ascii="Times New Roman" w:hAnsi="Times New Roman"/>
                <w:b/>
              </w:rPr>
              <w:t>套</w:t>
            </w:r>
          </w:p>
        </w:tc>
        <w:tc>
          <w:tcPr>
            <w:tcW w:w="2439" w:type="pct"/>
            <w:vAlign w:val="center"/>
          </w:tcPr>
          <w:p>
            <w:pPr>
              <w:pStyle w:val="128"/>
              <w:adjustRightInd w:val="0"/>
              <w:snapToGrid w:val="0"/>
              <w:spacing w:beforeLines="0" w:afterLines="0"/>
              <w:jc w:val="left"/>
              <w:rPr>
                <w:rFonts w:ascii="Times New Roman" w:hAnsi="Times New Roman"/>
                <w:b/>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jc w:val="center"/>
              <w:rPr>
                <w:rFonts w:ascii="Times New Roman" w:hAnsi="Times New Roman"/>
              </w:rPr>
            </w:pPr>
          </w:p>
        </w:tc>
        <w:tc>
          <w:tcPr>
            <w:tcW w:w="1488" w:type="pct"/>
            <w:vAlign w:val="center"/>
          </w:tcPr>
          <w:p>
            <w:pPr>
              <w:pStyle w:val="128"/>
              <w:adjustRightInd w:val="0"/>
              <w:snapToGrid w:val="0"/>
              <w:spacing w:beforeLines="0" w:afterLines="0"/>
              <w:rPr>
                <w:rFonts w:hint="default" w:ascii="Times New Roman" w:hAnsi="Times New Roman" w:eastAsiaTheme="minorEastAsia"/>
                <w:szCs w:val="28"/>
                <w:lang w:val="en-US" w:eastAsia="zh-CN"/>
              </w:rPr>
            </w:pPr>
            <w:r>
              <w:rPr>
                <w:rFonts w:hint="eastAsia" w:ascii="Times New Roman" w:hAnsi="Times New Roman"/>
                <w:szCs w:val="28"/>
                <w:lang w:val="en-US" w:eastAsia="zh-CN"/>
              </w:rPr>
              <w:t>RTPC实时机</w:t>
            </w:r>
          </w:p>
        </w:tc>
        <w:tc>
          <w:tcPr>
            <w:tcW w:w="513"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模拟电压采集板卡</w:t>
            </w:r>
          </w:p>
        </w:tc>
        <w:tc>
          <w:tcPr>
            <w:tcW w:w="513"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1"/>
              </w:rPr>
            </w:pPr>
            <w:r>
              <w:rPr>
                <w:rFonts w:hint="eastAsia" w:ascii="Times New Roman" w:hAnsi="Times New Roman"/>
                <w:szCs w:val="21"/>
              </w:rPr>
              <w:t>模拟电压输出板卡</w:t>
            </w:r>
          </w:p>
        </w:tc>
        <w:tc>
          <w:tcPr>
            <w:tcW w:w="513" w:type="pct"/>
            <w:vAlign w:val="center"/>
          </w:tcPr>
          <w:p>
            <w:pPr>
              <w:pStyle w:val="128"/>
              <w:adjustRightInd w:val="0"/>
              <w:snapToGrid w:val="0"/>
              <w:spacing w:beforeLines="0" w:afterLines="0"/>
              <w:jc w:val="center"/>
              <w:rPr>
                <w:rFonts w:ascii="Times New Roman" w:hAnsi="Times New Roman"/>
                <w:szCs w:val="21"/>
              </w:rPr>
            </w:pPr>
            <w:r>
              <w:rPr>
                <w:rFonts w:hint="eastAsia" w:ascii="Times New Roman" w:hAnsi="Times New Roman" w:eastAsia="宋体"/>
                <w:szCs w:val="21"/>
              </w:rPr>
              <w:t>6</w:t>
            </w:r>
            <w:r>
              <w:rPr>
                <w:rFonts w:hint="eastAsia" w:ascii="Times New Roman" w:hAnsi="Times New Roman"/>
                <w:szCs w:val="21"/>
              </w:rPr>
              <w:t>套</w:t>
            </w:r>
          </w:p>
        </w:tc>
        <w:tc>
          <w:tcPr>
            <w:tcW w:w="2439" w:type="pct"/>
          </w:tcPr>
          <w:p>
            <w:pPr>
              <w:rPr>
                <w:rFonts w:ascii="Times New Roman" w:hAnsi="Times New Roman"/>
              </w:rPr>
            </w:pPr>
            <w:r>
              <w:rPr>
                <w:rFonts w:hint="eastAsia" w:ascii="Times New Roman" w:hAnsi="Times New Roman"/>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1"/>
              </w:rPr>
            </w:pPr>
            <w:r>
              <w:rPr>
                <w:rFonts w:hint="eastAsia" w:ascii="Times New Roman" w:hAnsi="Times New Roman"/>
                <w:szCs w:val="21"/>
              </w:rPr>
              <w:t>multi DIO板卡</w:t>
            </w:r>
          </w:p>
        </w:tc>
        <w:tc>
          <w:tcPr>
            <w:tcW w:w="513" w:type="pct"/>
            <w:vAlign w:val="center"/>
          </w:tcPr>
          <w:p>
            <w:pPr>
              <w:pStyle w:val="128"/>
              <w:adjustRightInd w:val="0"/>
              <w:snapToGrid w:val="0"/>
              <w:spacing w:beforeLines="0" w:afterLines="0"/>
              <w:jc w:val="center"/>
              <w:rPr>
                <w:rFonts w:ascii="Times New Roman" w:hAnsi="Times New Roman"/>
                <w:szCs w:val="21"/>
              </w:rPr>
            </w:pPr>
            <w:r>
              <w:rPr>
                <w:rFonts w:hint="eastAsia" w:ascii="Times New Roman" w:hAnsi="Times New Roman" w:eastAsia="宋体"/>
                <w:szCs w:val="21"/>
              </w:rPr>
              <w:t>6</w:t>
            </w:r>
            <w:r>
              <w:rPr>
                <w:rFonts w:hint="eastAsia" w:ascii="Times New Roman" w:hAnsi="Times New Roman"/>
                <w:szCs w:val="21"/>
              </w:rPr>
              <w:t>套</w:t>
            </w:r>
          </w:p>
        </w:tc>
        <w:tc>
          <w:tcPr>
            <w:tcW w:w="2439" w:type="pct"/>
          </w:tcPr>
          <w:p>
            <w:pPr>
              <w:rPr>
                <w:rFonts w:ascii="Times New Roman" w:hAnsi="Times New Roman"/>
              </w:rPr>
            </w:pPr>
            <w:r>
              <w:rPr>
                <w:rFonts w:hint="eastAsia" w:ascii="Times New Roman" w:hAnsi="Times New Roman"/>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1"/>
              </w:rPr>
            </w:pPr>
            <w:r>
              <w:rPr>
                <w:rFonts w:hint="eastAsia" w:ascii="Times New Roman" w:hAnsi="Times New Roman"/>
                <w:szCs w:val="21"/>
              </w:rPr>
              <w:t>总线通信板卡</w:t>
            </w:r>
          </w:p>
        </w:tc>
        <w:tc>
          <w:tcPr>
            <w:tcW w:w="513" w:type="pct"/>
            <w:vAlign w:val="center"/>
          </w:tcPr>
          <w:p>
            <w:pPr>
              <w:pStyle w:val="128"/>
              <w:adjustRightInd w:val="0"/>
              <w:snapToGrid w:val="0"/>
              <w:spacing w:beforeLines="0" w:afterLines="0"/>
              <w:jc w:val="center"/>
              <w:rPr>
                <w:rFonts w:ascii="Times New Roman" w:hAnsi="Times New Roman"/>
                <w:szCs w:val="21"/>
              </w:rPr>
            </w:pPr>
            <w:r>
              <w:rPr>
                <w:rFonts w:hint="eastAsia" w:ascii="Times New Roman" w:hAnsi="Times New Roman" w:eastAsia="宋体"/>
                <w:szCs w:val="21"/>
              </w:rPr>
              <w:t>6</w:t>
            </w:r>
            <w:r>
              <w:rPr>
                <w:rFonts w:hint="eastAsia" w:ascii="Times New Roman" w:hAnsi="Times New Roman"/>
                <w:szCs w:val="21"/>
              </w:rPr>
              <w:t>套</w:t>
            </w:r>
          </w:p>
        </w:tc>
        <w:tc>
          <w:tcPr>
            <w:tcW w:w="2439" w:type="pct"/>
          </w:tcPr>
          <w:p>
            <w:pPr>
              <w:rPr>
                <w:rFonts w:ascii="Times New Roman" w:hAnsi="Times New Roman"/>
              </w:rPr>
            </w:pPr>
            <w:r>
              <w:rPr>
                <w:rFonts w:hint="eastAsia" w:ascii="Times New Roman" w:hAnsi="Times New Roman"/>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ascii="Times New Roman" w:hAnsi="Times New Roman"/>
                <w:szCs w:val="21"/>
              </w:rPr>
            </w:pPr>
            <w:r>
              <w:rPr>
                <w:rFonts w:hint="eastAsia" w:ascii="Times New Roman" w:hAnsi="Times New Roman"/>
                <w:szCs w:val="21"/>
              </w:rPr>
              <w:t>电阻仿真箱</w:t>
            </w:r>
          </w:p>
        </w:tc>
        <w:tc>
          <w:tcPr>
            <w:tcW w:w="513" w:type="pct"/>
            <w:vAlign w:val="center"/>
          </w:tcPr>
          <w:p>
            <w:pPr>
              <w:pStyle w:val="128"/>
              <w:adjustRightInd w:val="0"/>
              <w:snapToGrid w:val="0"/>
              <w:spacing w:beforeLines="0" w:afterLines="0"/>
              <w:jc w:val="center"/>
              <w:rPr>
                <w:rFonts w:ascii="Times New Roman" w:hAnsi="Times New Roman"/>
                <w:szCs w:val="21"/>
              </w:rPr>
            </w:pPr>
            <w:r>
              <w:rPr>
                <w:rFonts w:hint="eastAsia" w:ascii="Times New Roman" w:hAnsi="Times New Roman" w:eastAsia="宋体"/>
                <w:szCs w:val="21"/>
              </w:rPr>
              <w:t>6</w:t>
            </w:r>
            <w:r>
              <w:rPr>
                <w:rFonts w:hint="eastAsia" w:ascii="Times New Roman" w:hAnsi="Times New Roman"/>
                <w:szCs w:val="21"/>
              </w:rPr>
              <w:t>套</w:t>
            </w:r>
          </w:p>
        </w:tc>
        <w:tc>
          <w:tcPr>
            <w:tcW w:w="2439" w:type="pct"/>
          </w:tcPr>
          <w:p>
            <w:pPr>
              <w:rPr>
                <w:rFonts w:ascii="Times New Roman" w:hAnsi="Times New Roman"/>
              </w:rPr>
            </w:pPr>
            <w:r>
              <w:rPr>
                <w:rFonts w:hint="eastAsia" w:ascii="Times New Roman" w:hAnsi="Times New Roman"/>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ascii="Times New Roman" w:hAnsi="Times New Roman"/>
                <w:szCs w:val="28"/>
              </w:rPr>
            </w:pPr>
            <w:r>
              <w:rPr>
                <w:rFonts w:hint="eastAsia" w:ascii="Times New Roman" w:hAnsi="Times New Roman"/>
                <w:szCs w:val="28"/>
              </w:rPr>
              <w:t>信号生成板卡</w:t>
            </w:r>
          </w:p>
        </w:tc>
        <w:tc>
          <w:tcPr>
            <w:tcW w:w="513"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ascii="Times New Roman" w:hAnsi="Times New Roman"/>
                <w:szCs w:val="28"/>
              </w:rPr>
            </w:pPr>
            <w:r>
              <w:rPr>
                <w:rFonts w:hint="eastAsia" w:ascii="Times New Roman" w:hAnsi="Times New Roman"/>
                <w:szCs w:val="28"/>
              </w:rPr>
              <w:t>数字输出板卡</w:t>
            </w:r>
          </w:p>
        </w:tc>
        <w:tc>
          <w:tcPr>
            <w:tcW w:w="513"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ascii="Times New Roman" w:hAnsi="Times New Roman"/>
                <w:szCs w:val="28"/>
              </w:rPr>
            </w:pPr>
            <w:r>
              <w:rPr>
                <w:rFonts w:hint="eastAsia" w:ascii="Times New Roman" w:hAnsi="Times New Roman"/>
                <w:szCs w:val="28"/>
              </w:rPr>
              <w:t>轮速仿真板卡</w:t>
            </w:r>
          </w:p>
        </w:tc>
        <w:tc>
          <w:tcPr>
            <w:tcW w:w="513"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上电时序模拟板卡</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eastAsia="宋体"/>
                <w:szCs w:val="21"/>
              </w:rPr>
              <w:t>6</w:t>
            </w:r>
            <w:r>
              <w:rPr>
                <w:rFonts w:hint="eastAsia" w:ascii="Times New Roman" w:hAnsi="Times New Roman"/>
                <w:szCs w:val="21"/>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Relay_2A</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故障注入板卡1</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故障注入板卡2</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电感型位置传感器模拟</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eastAsia="宋体"/>
                <w:szCs w:val="21"/>
              </w:rPr>
              <w:t>6</w:t>
            </w:r>
            <w:r>
              <w:rPr>
                <w:rFonts w:hint="eastAsia" w:ascii="Times New Roman" w:hAnsi="Times New Roman"/>
                <w:szCs w:val="21"/>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信号生成板卡</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上电控制卡</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低压程控电源</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电流采集</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1"/>
                <w:lang w:val="en-US" w:eastAsia="zh-CN" w:bidi="ar-SA"/>
              </w:rPr>
            </w:pPr>
            <w:r>
              <w:rPr>
                <w:rFonts w:hint="eastAsia" w:ascii="Times New Roman" w:hAnsi="Times New Roman" w:eastAsia="宋体"/>
                <w:szCs w:val="21"/>
              </w:rPr>
              <w:t>6</w:t>
            </w:r>
            <w:r>
              <w:rPr>
                <w:rFonts w:hint="eastAsia" w:ascii="Times New Roman" w:hAnsi="Times New Roman"/>
                <w:szCs w:val="21"/>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上位机</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BOB</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7"/>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ind w:hanging="11"/>
              <w:rPr>
                <w:rFonts w:hint="eastAsia" w:ascii="Times New Roman" w:hAnsi="Times New Roman"/>
                <w:szCs w:val="28"/>
              </w:rPr>
            </w:pPr>
            <w:r>
              <w:rPr>
                <w:rFonts w:hint="eastAsia" w:ascii="Times New Roman" w:hAnsi="Times New Roman"/>
                <w:szCs w:val="28"/>
              </w:rPr>
              <w:t>电气系统总成</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r>
              <w:rPr>
                <w:rFonts w:hint="eastAsia" w:ascii="Times New Roman" w:hAnsi="Times New Roman"/>
                <w:szCs w:val="21"/>
              </w:rPr>
              <w:t>根据招标方需求配置，提供方案、型号及具体指标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b/>
              </w:rPr>
              <w:t>2</w:t>
            </w:r>
          </w:p>
        </w:tc>
        <w:tc>
          <w:tcPr>
            <w:tcW w:w="1488" w:type="pct"/>
            <w:vAlign w:val="center"/>
          </w:tcPr>
          <w:p>
            <w:pPr>
              <w:pStyle w:val="128"/>
              <w:adjustRightInd w:val="0"/>
              <w:snapToGrid w:val="0"/>
              <w:spacing w:beforeLines="0" w:afterLines="0"/>
              <w:rPr>
                <w:rFonts w:hint="default" w:ascii="Times New Roman" w:hAnsi="Times New Roman" w:eastAsiaTheme="minorEastAsia"/>
                <w:szCs w:val="28"/>
                <w:lang w:val="en-US" w:eastAsia="zh-CN"/>
              </w:rPr>
            </w:pPr>
            <w:r>
              <w:rPr>
                <w:rFonts w:hint="eastAsia" w:ascii="Times New Roman" w:hAnsi="Times New Roman"/>
                <w:b/>
                <w:szCs w:val="28"/>
                <w:lang w:val="en-US" w:eastAsia="zh-CN"/>
              </w:rPr>
              <w:t>机械平台</w:t>
            </w:r>
          </w:p>
        </w:tc>
        <w:tc>
          <w:tcPr>
            <w:tcW w:w="513" w:type="pct"/>
            <w:vAlign w:val="center"/>
          </w:tcPr>
          <w:p>
            <w:pPr>
              <w:pStyle w:val="128"/>
              <w:adjustRightInd w:val="0"/>
              <w:snapToGrid w:val="0"/>
              <w:spacing w:beforeLines="0" w:afterLines="0"/>
              <w:jc w:val="center"/>
              <w:rPr>
                <w:rFonts w:ascii="Times New Roman" w:hAnsi="Times New Roman"/>
                <w:b/>
              </w:rPr>
            </w:pPr>
            <w:r>
              <w:rPr>
                <w:rFonts w:hint="eastAsia" w:ascii="Times New Roman" w:hAnsi="Times New Roman" w:eastAsia="宋体"/>
                <w:b/>
              </w:rPr>
              <w:t>6</w:t>
            </w:r>
            <w:r>
              <w:rPr>
                <w:rFonts w:hint="eastAsia" w:ascii="Times New Roman" w:hAnsi="Times New Roman"/>
                <w:b/>
              </w:rPr>
              <w:t>套</w:t>
            </w:r>
          </w:p>
        </w:tc>
        <w:tc>
          <w:tcPr>
            <w:tcW w:w="2439" w:type="pct"/>
            <w:vAlign w:val="center"/>
          </w:tcPr>
          <w:p>
            <w:pPr>
              <w:pStyle w:val="128"/>
              <w:adjustRightInd w:val="0"/>
              <w:snapToGrid w:val="0"/>
              <w:spacing w:beforeLines="0" w:afterLines="0"/>
              <w:jc w:val="left"/>
              <w:rPr>
                <w:rFonts w:ascii="Times New Roman" w:hAnsi="Times New Roman"/>
                <w:b/>
                <w:szCs w:val="21"/>
                <w:highlight w:val="yellow"/>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8"/>
              </w:numPr>
              <w:adjustRightInd w:val="0"/>
              <w:snapToGrid w:val="0"/>
              <w:spacing w:beforeLines="0" w:afterLines="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测试机柜</w:t>
            </w:r>
          </w:p>
        </w:tc>
        <w:tc>
          <w:tcPr>
            <w:tcW w:w="513" w:type="pct"/>
            <w:vAlign w:val="center"/>
          </w:tcPr>
          <w:p>
            <w:pPr>
              <w:pStyle w:val="128"/>
              <w:adjustRightInd w:val="0"/>
              <w:snapToGrid w:val="0"/>
              <w:spacing w:beforeLines="0" w:afterLines="0"/>
              <w:jc w:val="center"/>
              <w:rPr>
                <w:rFonts w:ascii="Times New Roman" w:hAnsi="Times New Roman"/>
                <w:szCs w:val="28"/>
              </w:rPr>
            </w:pPr>
            <w:r>
              <w:rPr>
                <w:rFonts w:hint="eastAsia" w:ascii="Times New Roman" w:hAnsi="Times New Roman" w:eastAsia="宋体"/>
                <w:szCs w:val="28"/>
              </w:rPr>
              <w:t>6</w:t>
            </w:r>
            <w:r>
              <w:rPr>
                <w:rFonts w:hint="eastAsia" w:ascii="Times New Roman" w:hAnsi="Times New Roman"/>
                <w:szCs w:val="28"/>
              </w:rPr>
              <w:t>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8"/>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上电控制箱</w:t>
            </w:r>
          </w:p>
        </w:tc>
        <w:tc>
          <w:tcPr>
            <w:tcW w:w="513" w:type="pct"/>
            <w:vAlign w:val="center"/>
          </w:tcPr>
          <w:p>
            <w:pPr>
              <w:pStyle w:val="128"/>
              <w:adjustRightInd w:val="0"/>
              <w:snapToGrid w:val="0"/>
              <w:spacing w:beforeLines="0" w:afterLines="0"/>
              <w:jc w:val="center"/>
              <w:rPr>
                <w:rFonts w:ascii="Times New Roman" w:hAnsi="Times New Roman"/>
                <w:szCs w:val="28"/>
              </w:rPr>
            </w:pPr>
            <w:r>
              <w:rPr>
                <w:rFonts w:hint="eastAsia" w:ascii="Times New Roman" w:hAnsi="Times New Roman" w:eastAsia="宋体"/>
                <w:szCs w:val="28"/>
              </w:rPr>
              <w:t>6</w:t>
            </w:r>
            <w:r>
              <w:rPr>
                <w:rFonts w:hint="eastAsia" w:ascii="Times New Roman" w:hAnsi="Times New Roman"/>
                <w:szCs w:val="28"/>
              </w:rPr>
              <w:t>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8"/>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其他损耗</w:t>
            </w:r>
          </w:p>
        </w:tc>
        <w:tc>
          <w:tcPr>
            <w:tcW w:w="513" w:type="pct"/>
            <w:vAlign w:val="center"/>
          </w:tcPr>
          <w:p>
            <w:pPr>
              <w:pStyle w:val="128"/>
              <w:adjustRightInd w:val="0"/>
              <w:snapToGrid w:val="0"/>
              <w:spacing w:beforeLines="0" w:afterLines="0"/>
              <w:jc w:val="center"/>
              <w:rPr>
                <w:rFonts w:ascii="Times New Roman" w:hAnsi="Times New Roman"/>
                <w:szCs w:val="28"/>
              </w:rPr>
            </w:pPr>
            <w:r>
              <w:rPr>
                <w:rFonts w:hint="eastAsia" w:ascii="Times New Roman" w:hAnsi="Times New Roman" w:eastAsia="宋体"/>
                <w:szCs w:val="28"/>
              </w:rPr>
              <w:t>6</w:t>
            </w:r>
            <w:r>
              <w:rPr>
                <w:rFonts w:hint="eastAsia" w:ascii="Times New Roman" w:hAnsi="Times New Roman"/>
                <w:szCs w:val="28"/>
              </w:rPr>
              <w:t>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8"/>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hint="eastAsia" w:ascii="Times New Roman" w:hAnsi="Times New Roman"/>
                <w:szCs w:val="28"/>
              </w:rPr>
            </w:pPr>
            <w:r>
              <w:rPr>
                <w:rFonts w:hint="eastAsia" w:ascii="Times New Roman" w:hAnsi="Times New Roman"/>
                <w:szCs w:val="28"/>
              </w:rPr>
              <w:t>转接线束及接插件</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8"/>
                <w:lang w:val="en-US" w:eastAsia="zh-CN" w:bidi="ar-SA"/>
              </w:rPr>
            </w:pPr>
            <w:r>
              <w:rPr>
                <w:rFonts w:hint="eastAsia" w:ascii="Times New Roman" w:hAnsi="Times New Roman" w:eastAsia="宋体"/>
                <w:szCs w:val="28"/>
              </w:rPr>
              <w:t>6</w:t>
            </w:r>
            <w:r>
              <w:rPr>
                <w:rFonts w:hint="eastAsia" w:ascii="Times New Roman" w:hAnsi="Times New Roman"/>
                <w:szCs w:val="28"/>
              </w:rPr>
              <w:t>套</w:t>
            </w:r>
          </w:p>
        </w:tc>
        <w:tc>
          <w:tcPr>
            <w:tcW w:w="2439" w:type="pct"/>
            <w:vAlign w:val="center"/>
          </w:tcPr>
          <w:p>
            <w:pPr>
              <w:pStyle w:val="128"/>
              <w:adjustRightInd w:val="0"/>
              <w:snapToGrid w:val="0"/>
              <w:spacing w:beforeLines="0" w:afterLines="0"/>
              <w:jc w:val="left"/>
              <w:rPr>
                <w:rFonts w:hint="eastAsia" w:ascii="Times New Roman" w:hAnsi="Times New Roman" w:eastAsiaTheme="minorEastAsia" w:cstheme="minorBidi"/>
                <w:kern w:val="2"/>
                <w:sz w:val="21"/>
                <w:szCs w:val="21"/>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8"/>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IO模型生成工具</w:t>
            </w:r>
          </w:p>
        </w:tc>
        <w:tc>
          <w:tcPr>
            <w:tcW w:w="513" w:type="pct"/>
            <w:vAlign w:val="center"/>
          </w:tcPr>
          <w:p>
            <w:pPr>
              <w:pStyle w:val="128"/>
              <w:adjustRightInd w:val="0"/>
              <w:snapToGrid w:val="0"/>
              <w:spacing w:beforeLines="0" w:afterLines="0"/>
              <w:jc w:val="center"/>
              <w:rPr>
                <w:rFonts w:ascii="Times New Roman" w:hAnsi="Times New Roman"/>
                <w:szCs w:val="28"/>
              </w:rPr>
            </w:pPr>
            <w:r>
              <w:rPr>
                <w:rFonts w:hint="eastAsia" w:ascii="Times New Roman" w:hAnsi="Times New Roman" w:eastAsia="宋体"/>
                <w:szCs w:val="28"/>
              </w:rPr>
              <w:t>6</w:t>
            </w:r>
            <w:r>
              <w:rPr>
                <w:rFonts w:hint="eastAsia" w:ascii="Times New Roman" w:hAnsi="Times New Roman"/>
                <w:szCs w:val="28"/>
              </w:rPr>
              <w:t>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ascii="Times New Roman" w:hAnsi="Times New Roman"/>
                <w:b/>
              </w:rPr>
            </w:pPr>
            <w:r>
              <w:rPr>
                <w:rFonts w:hint="eastAsia" w:ascii="Times New Roman" w:hAnsi="Times New Roman"/>
                <w:b/>
              </w:rPr>
              <w:t>3</w:t>
            </w:r>
          </w:p>
        </w:tc>
        <w:tc>
          <w:tcPr>
            <w:tcW w:w="1488" w:type="pct"/>
            <w:vAlign w:val="center"/>
          </w:tcPr>
          <w:p>
            <w:pPr>
              <w:pStyle w:val="128"/>
              <w:adjustRightInd w:val="0"/>
              <w:snapToGrid w:val="0"/>
              <w:spacing w:beforeLines="0" w:afterLines="0"/>
              <w:rPr>
                <w:rFonts w:hint="default" w:ascii="Times New Roman" w:hAnsi="Times New Roman" w:eastAsiaTheme="minorEastAsia"/>
                <w:b/>
                <w:szCs w:val="28"/>
                <w:lang w:val="en-US" w:eastAsia="zh-CN"/>
              </w:rPr>
            </w:pPr>
            <w:r>
              <w:rPr>
                <w:rFonts w:hint="eastAsia" w:ascii="Times New Roman" w:hAnsi="Times New Roman"/>
                <w:b/>
                <w:szCs w:val="28"/>
                <w:lang w:val="en-US" w:eastAsia="zh-CN"/>
              </w:rPr>
              <w:t>软件平台</w:t>
            </w:r>
          </w:p>
        </w:tc>
        <w:tc>
          <w:tcPr>
            <w:tcW w:w="513" w:type="pct"/>
            <w:vAlign w:val="center"/>
          </w:tcPr>
          <w:p>
            <w:pPr>
              <w:pStyle w:val="128"/>
              <w:adjustRightInd w:val="0"/>
              <w:snapToGrid w:val="0"/>
              <w:spacing w:beforeLines="0" w:afterLines="0"/>
              <w:jc w:val="center"/>
              <w:rPr>
                <w:rFonts w:ascii="Times New Roman" w:hAnsi="Times New Roman"/>
                <w:b/>
                <w:szCs w:val="28"/>
              </w:rPr>
            </w:pPr>
          </w:p>
        </w:tc>
        <w:tc>
          <w:tcPr>
            <w:tcW w:w="2439" w:type="pct"/>
            <w:vAlign w:val="center"/>
          </w:tcPr>
          <w:p>
            <w:pPr>
              <w:pStyle w:val="128"/>
              <w:adjustRightInd w:val="0"/>
              <w:snapToGrid w:val="0"/>
              <w:spacing w:beforeLines="0" w:afterLines="0"/>
              <w:jc w:val="left"/>
              <w:rPr>
                <w:rFonts w:ascii="Times New Roman" w:hAnsi="Times New Roman"/>
                <w:b/>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9"/>
              </w:numPr>
              <w:adjustRightInd w:val="0"/>
              <w:snapToGrid w:val="0"/>
              <w:spacing w:beforeLines="0" w:afterLines="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工程配置软件</w:t>
            </w:r>
          </w:p>
        </w:tc>
        <w:tc>
          <w:tcPr>
            <w:tcW w:w="513"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9"/>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试验管理软件</w:t>
            </w:r>
          </w:p>
        </w:tc>
        <w:tc>
          <w:tcPr>
            <w:tcW w:w="513" w:type="pct"/>
            <w:vAlign w:val="center"/>
          </w:tcPr>
          <w:p>
            <w:pPr>
              <w:pStyle w:val="128"/>
              <w:adjustRightInd w:val="0"/>
              <w:snapToGrid w:val="0"/>
              <w:spacing w:beforeLines="0" w:afterLines="0"/>
              <w:jc w:val="center"/>
              <w:rPr>
                <w:rFonts w:ascii="Times New Roman" w:hAnsi="Times New Roman"/>
                <w:highlight w:val="yellow"/>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9"/>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hint="eastAsia" w:ascii="Times New Roman" w:hAnsi="Times New Roman"/>
                <w:szCs w:val="28"/>
              </w:rPr>
            </w:pPr>
            <w:r>
              <w:rPr>
                <w:rFonts w:hint="eastAsia" w:ascii="Times New Roman" w:hAnsi="Times New Roman"/>
                <w:szCs w:val="28"/>
              </w:rPr>
              <w:t>自动测试软件</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numPr>
                <w:ilvl w:val="0"/>
                <w:numId w:val="39"/>
              </w:numPr>
              <w:adjustRightInd w:val="0"/>
              <w:snapToGrid w:val="0"/>
              <w:spacing w:beforeLines="0" w:afterLines="0"/>
              <w:ind w:left="0" w:firstLine="0"/>
              <w:jc w:val="center"/>
              <w:rPr>
                <w:rFonts w:ascii="Times New Roman" w:hAnsi="Times New Roman"/>
              </w:rPr>
            </w:pPr>
          </w:p>
        </w:tc>
        <w:tc>
          <w:tcPr>
            <w:tcW w:w="1488" w:type="pct"/>
            <w:vAlign w:val="center"/>
          </w:tcPr>
          <w:p>
            <w:pPr>
              <w:pStyle w:val="128"/>
              <w:adjustRightInd w:val="0"/>
              <w:snapToGrid w:val="0"/>
              <w:spacing w:beforeLines="0" w:afterLines="0"/>
              <w:rPr>
                <w:rFonts w:hint="eastAsia" w:ascii="Times New Roman" w:hAnsi="Times New Roman"/>
                <w:szCs w:val="28"/>
              </w:rPr>
            </w:pPr>
            <w:r>
              <w:rPr>
                <w:rFonts w:hint="eastAsia" w:ascii="Times New Roman" w:hAnsi="Times New Roman"/>
                <w:szCs w:val="28"/>
              </w:rPr>
              <w:t>动力学模型、电池模型、电机模型等</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4"/>
                <w:highlight w:val="yellow"/>
                <w:lang w:val="en-US" w:eastAsia="zh-CN" w:bidi="ar-SA"/>
              </w:rPr>
            </w:pPr>
            <w:r>
              <w:rPr>
                <w:rFonts w:hint="eastAsia" w:ascii="Times New Roman" w:hAnsi="Times New Roman" w:eastAsia="宋体"/>
              </w:rPr>
              <w:t>6</w:t>
            </w:r>
            <w:r>
              <w:rPr>
                <w:rFonts w:hint="eastAsia" w:ascii="Times New Roman" w:hAnsi="Times New Roman"/>
              </w:rPr>
              <w:t>套</w:t>
            </w:r>
          </w:p>
        </w:tc>
        <w:tc>
          <w:tcPr>
            <w:tcW w:w="2439" w:type="pct"/>
            <w:vAlign w:val="center"/>
          </w:tcPr>
          <w:p>
            <w:pPr>
              <w:pStyle w:val="128"/>
              <w:adjustRightInd w:val="0"/>
              <w:snapToGrid w:val="0"/>
              <w:spacing w:beforeLines="0" w:afterLines="0"/>
              <w:jc w:val="left"/>
              <w:rPr>
                <w:rFonts w:hint="eastAsia" w:ascii="Times New Roman" w:hAnsi="Times New Roman" w:eastAsiaTheme="minorEastAsia"/>
                <w:szCs w:val="21"/>
                <w:lang w:eastAsia="zh-CN"/>
              </w:rPr>
            </w:pPr>
            <w:r>
              <w:rPr>
                <w:rFonts w:hint="eastAsia" w:ascii="Times New Roman" w:hAnsi="Times New Roman"/>
                <w:szCs w:val="21"/>
              </w:rPr>
              <w:t>根据招标方需求搭建，需要提供模型方案</w:t>
            </w:r>
            <w:r>
              <w:rPr>
                <w:rFonts w:hint="eastAsia" w:ascii="Times New Roman" w:hAnsi="Times New Roman"/>
                <w:szCs w:val="21"/>
                <w:lang w:eastAsia="zh-CN"/>
              </w:rPr>
              <w:t>。</w:t>
            </w:r>
            <w:r>
              <w:rPr>
                <w:rFonts w:hint="eastAsia" w:ascii="Times New Roman" w:hAnsi="Times New Roman"/>
                <w:szCs w:val="21"/>
              </w:rPr>
              <w:t>需要包含车辆纵向动力学模型及车辆关键部件模型</w:t>
            </w:r>
            <w:r>
              <w:rPr>
                <w:rFonts w:hint="eastAsia" w:ascii="Times New Roman" w:hAnsi="Times New Roman"/>
                <w:szCs w:val="21"/>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ind w:hanging="75"/>
              <w:jc w:val="center"/>
              <w:rPr>
                <w:rFonts w:ascii="Times New Roman" w:hAnsi="Times New Roman"/>
                <w:b/>
              </w:rPr>
            </w:pPr>
            <w:r>
              <w:rPr>
                <w:rFonts w:ascii="Times New Roman" w:hAnsi="Times New Roman"/>
                <w:b/>
              </w:rPr>
              <w:t>4</w:t>
            </w:r>
          </w:p>
        </w:tc>
        <w:tc>
          <w:tcPr>
            <w:tcW w:w="1488" w:type="pct"/>
            <w:vAlign w:val="center"/>
          </w:tcPr>
          <w:p>
            <w:pPr>
              <w:pStyle w:val="128"/>
              <w:adjustRightInd w:val="0"/>
              <w:snapToGrid w:val="0"/>
              <w:spacing w:beforeLines="0" w:afterLines="0"/>
              <w:rPr>
                <w:rFonts w:hint="default" w:ascii="Times New Roman" w:hAnsi="Times New Roman" w:eastAsiaTheme="minorEastAsia"/>
                <w:b/>
                <w:szCs w:val="28"/>
                <w:lang w:val="en-US" w:eastAsia="zh-CN"/>
              </w:rPr>
            </w:pPr>
            <w:r>
              <w:rPr>
                <w:rFonts w:hint="eastAsia" w:ascii="Times New Roman" w:hAnsi="Times New Roman"/>
                <w:b/>
                <w:szCs w:val="28"/>
                <w:lang w:val="en-US" w:eastAsia="zh-CN"/>
              </w:rPr>
              <w:t>服务及其他</w:t>
            </w:r>
          </w:p>
        </w:tc>
        <w:tc>
          <w:tcPr>
            <w:tcW w:w="513" w:type="pct"/>
            <w:vAlign w:val="center"/>
          </w:tcPr>
          <w:p>
            <w:pPr>
              <w:pStyle w:val="128"/>
              <w:adjustRightInd w:val="0"/>
              <w:snapToGrid w:val="0"/>
              <w:spacing w:beforeLines="0" w:afterLines="0"/>
              <w:jc w:val="center"/>
              <w:rPr>
                <w:rFonts w:ascii="Times New Roman" w:hAnsi="Times New Roman"/>
                <w:b/>
              </w:rPr>
            </w:pPr>
          </w:p>
        </w:tc>
        <w:tc>
          <w:tcPr>
            <w:tcW w:w="2439" w:type="pct"/>
            <w:vAlign w:val="center"/>
          </w:tcPr>
          <w:p>
            <w:pPr>
              <w:pStyle w:val="128"/>
              <w:adjustRightInd w:val="0"/>
              <w:snapToGrid w:val="0"/>
              <w:spacing w:beforeLines="0" w:afterLines="0"/>
              <w:jc w:val="left"/>
              <w:rPr>
                <w:rFonts w:ascii="Times New Roman" w:hAnsi="Times New Roman"/>
                <w:b/>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rPr>
              <w:t>4</w:t>
            </w:r>
            <w:r>
              <w:rPr>
                <w:rFonts w:ascii="Times New Roman" w:hAnsi="Times New Roman"/>
              </w:rPr>
              <w:t>.1</w:t>
            </w: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机械设计</w:t>
            </w:r>
          </w:p>
        </w:tc>
        <w:tc>
          <w:tcPr>
            <w:tcW w:w="513" w:type="pct"/>
            <w:vAlign w:val="center"/>
          </w:tcPr>
          <w:p>
            <w:pPr>
              <w:pStyle w:val="128"/>
              <w:adjustRightInd w:val="0"/>
              <w:snapToGrid w:val="0"/>
              <w:spacing w:beforeLines="0" w:afterLines="0"/>
              <w:jc w:val="center"/>
              <w:rPr>
                <w:rFonts w:ascii="Times New Roman" w:hAnsi="Times New Roman"/>
                <w:szCs w:val="28"/>
              </w:rPr>
            </w:pPr>
            <w:r>
              <w:rPr>
                <w:rFonts w:hint="eastAsia" w:ascii="Times New Roman" w:hAnsi="Times New Roman" w:eastAsia="宋体"/>
                <w:szCs w:val="28"/>
                <w:lang w:val="en-US" w:eastAsia="zh-CN"/>
              </w:rPr>
              <w:t>1</w:t>
            </w:r>
            <w:r>
              <w:rPr>
                <w:rFonts w:hint="eastAsia" w:ascii="Times New Roman" w:hAnsi="Times New Roman"/>
                <w:szCs w:val="28"/>
              </w:rPr>
              <w:t>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rPr>
              <w:t>4</w:t>
            </w:r>
            <w:r>
              <w:rPr>
                <w:rFonts w:ascii="Times New Roman" w:hAnsi="Times New Roman"/>
              </w:rPr>
              <w:t>.2</w:t>
            </w: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电气设计</w:t>
            </w:r>
          </w:p>
        </w:tc>
        <w:tc>
          <w:tcPr>
            <w:tcW w:w="513" w:type="pct"/>
            <w:vAlign w:val="center"/>
          </w:tcPr>
          <w:p>
            <w:pPr>
              <w:pStyle w:val="128"/>
              <w:adjustRightInd w:val="0"/>
              <w:snapToGrid w:val="0"/>
              <w:spacing w:beforeLines="0" w:afterLines="0"/>
              <w:jc w:val="center"/>
              <w:rPr>
                <w:rFonts w:ascii="Times New Roman" w:hAnsi="Times New Roman"/>
                <w:szCs w:val="28"/>
              </w:rPr>
            </w:pPr>
            <w:r>
              <w:rPr>
                <w:rFonts w:hint="eastAsia" w:ascii="Times New Roman" w:hAnsi="Times New Roman"/>
                <w:szCs w:val="28"/>
              </w:rPr>
              <w:t>1套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rPr>
              <w:t>4</w:t>
            </w:r>
            <w:r>
              <w:rPr>
                <w:rFonts w:ascii="Times New Roman" w:hAnsi="Times New Roman"/>
              </w:rPr>
              <w:t>.3</w:t>
            </w: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培训费用</w:t>
            </w:r>
          </w:p>
        </w:tc>
        <w:tc>
          <w:tcPr>
            <w:tcW w:w="513" w:type="pct"/>
            <w:vAlign w:val="center"/>
          </w:tcPr>
          <w:p>
            <w:pPr>
              <w:pStyle w:val="128"/>
              <w:adjustRightInd w:val="0"/>
              <w:snapToGrid w:val="0"/>
              <w:spacing w:beforeLines="0" w:afterLines="0"/>
              <w:jc w:val="center"/>
              <w:rPr>
                <w:rFonts w:ascii="Times New Roman" w:hAnsi="Times New Roman"/>
                <w:szCs w:val="28"/>
              </w:rPr>
            </w:pPr>
            <w:r>
              <w:rPr>
                <w:rFonts w:hint="eastAsia" w:ascii="Times New Roman" w:hAnsi="Times New Roman"/>
                <w:szCs w:val="28"/>
              </w:rPr>
              <w:t>1套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ascii="Times New Roman" w:hAnsi="Times New Roman"/>
              </w:rPr>
            </w:pPr>
            <w:r>
              <w:rPr>
                <w:rFonts w:hint="eastAsia" w:ascii="Times New Roman" w:hAnsi="Times New Roman"/>
              </w:rPr>
              <w:t>4</w:t>
            </w:r>
            <w:r>
              <w:rPr>
                <w:rFonts w:ascii="Times New Roman" w:hAnsi="Times New Roman"/>
              </w:rPr>
              <w:t>.4</w:t>
            </w:r>
          </w:p>
        </w:tc>
        <w:tc>
          <w:tcPr>
            <w:tcW w:w="1488" w:type="pct"/>
            <w:vAlign w:val="center"/>
          </w:tcPr>
          <w:p>
            <w:pPr>
              <w:pStyle w:val="128"/>
              <w:adjustRightInd w:val="0"/>
              <w:snapToGrid w:val="0"/>
              <w:spacing w:beforeLines="0" w:afterLines="0"/>
              <w:rPr>
                <w:rFonts w:ascii="Times New Roman" w:hAnsi="Times New Roman"/>
                <w:szCs w:val="28"/>
              </w:rPr>
            </w:pPr>
            <w:r>
              <w:rPr>
                <w:rFonts w:hint="eastAsia" w:ascii="Times New Roman" w:hAnsi="Times New Roman"/>
                <w:szCs w:val="28"/>
              </w:rPr>
              <w:t>集成费</w:t>
            </w:r>
          </w:p>
        </w:tc>
        <w:tc>
          <w:tcPr>
            <w:tcW w:w="513" w:type="pct"/>
            <w:vAlign w:val="center"/>
          </w:tcPr>
          <w:p>
            <w:pPr>
              <w:pStyle w:val="128"/>
              <w:adjustRightInd w:val="0"/>
              <w:snapToGrid w:val="0"/>
              <w:spacing w:beforeLines="0" w:afterLines="0"/>
              <w:jc w:val="center"/>
              <w:rPr>
                <w:rFonts w:ascii="Times New Roman" w:hAnsi="Times New Roman"/>
                <w:szCs w:val="28"/>
              </w:rPr>
            </w:pPr>
            <w:r>
              <w:rPr>
                <w:rFonts w:hint="eastAsia" w:ascii="Times New Roman" w:hAnsi="Times New Roman"/>
                <w:szCs w:val="28"/>
              </w:rPr>
              <w:t>1套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hint="default" w:ascii="Times New Roman" w:hAnsi="Times New Roman" w:eastAsiaTheme="minorEastAsia"/>
                <w:lang w:val="en-US" w:eastAsia="zh-CN"/>
              </w:rPr>
            </w:pPr>
            <w:r>
              <w:rPr>
                <w:rFonts w:hint="eastAsia" w:ascii="Times New Roman" w:hAnsi="Times New Roman"/>
                <w:lang w:val="en-US" w:eastAsia="zh-CN"/>
              </w:rPr>
              <w:t>4.5</w:t>
            </w:r>
          </w:p>
        </w:tc>
        <w:tc>
          <w:tcPr>
            <w:tcW w:w="1488" w:type="pct"/>
            <w:vAlign w:val="center"/>
          </w:tcPr>
          <w:p>
            <w:pPr>
              <w:pStyle w:val="128"/>
              <w:adjustRightInd w:val="0"/>
              <w:snapToGrid w:val="0"/>
              <w:spacing w:beforeLines="0" w:afterLines="0"/>
              <w:rPr>
                <w:rFonts w:hint="eastAsia" w:ascii="Times New Roman" w:hAnsi="Times New Roman"/>
                <w:szCs w:val="28"/>
              </w:rPr>
            </w:pPr>
            <w:r>
              <w:rPr>
                <w:rFonts w:hint="eastAsia" w:ascii="Times New Roman" w:hAnsi="Times New Roman"/>
                <w:szCs w:val="28"/>
              </w:rPr>
              <w:t>激励测试</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8"/>
                <w:lang w:val="en-US" w:eastAsia="zh-CN" w:bidi="ar-SA"/>
              </w:rPr>
            </w:pPr>
            <w:r>
              <w:rPr>
                <w:rFonts w:hint="eastAsia" w:ascii="Times New Roman" w:hAnsi="Times New Roman" w:eastAsia="宋体"/>
                <w:szCs w:val="28"/>
                <w:lang w:val="en-US" w:eastAsia="zh-CN"/>
              </w:rPr>
              <w:t>1</w:t>
            </w:r>
            <w:r>
              <w:rPr>
                <w:rFonts w:hint="eastAsia" w:ascii="Times New Roman" w:hAnsi="Times New Roman"/>
                <w:szCs w:val="28"/>
              </w:rPr>
              <w:t>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hint="default" w:ascii="Times New Roman" w:hAnsi="Times New Roman" w:eastAsiaTheme="minorEastAsia"/>
                <w:lang w:val="en-US" w:eastAsia="zh-CN"/>
              </w:rPr>
            </w:pPr>
            <w:r>
              <w:rPr>
                <w:rFonts w:hint="eastAsia" w:ascii="Times New Roman" w:hAnsi="Times New Roman"/>
                <w:lang w:val="en-US" w:eastAsia="zh-CN"/>
              </w:rPr>
              <w:t>4.6</w:t>
            </w:r>
          </w:p>
        </w:tc>
        <w:tc>
          <w:tcPr>
            <w:tcW w:w="1488" w:type="pct"/>
            <w:vAlign w:val="center"/>
          </w:tcPr>
          <w:p>
            <w:pPr>
              <w:pStyle w:val="128"/>
              <w:adjustRightInd w:val="0"/>
              <w:snapToGrid w:val="0"/>
              <w:spacing w:beforeLines="0" w:afterLines="0"/>
              <w:rPr>
                <w:rFonts w:hint="eastAsia" w:ascii="Times New Roman" w:hAnsi="Times New Roman"/>
                <w:szCs w:val="28"/>
              </w:rPr>
            </w:pPr>
            <w:r>
              <w:rPr>
                <w:rFonts w:hint="eastAsia" w:ascii="Times New Roman" w:hAnsi="Times New Roman"/>
                <w:szCs w:val="28"/>
              </w:rPr>
              <w:t>开环测试</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8"/>
                <w:lang w:val="en-US" w:eastAsia="zh-CN" w:bidi="ar-SA"/>
              </w:rPr>
            </w:pPr>
            <w:r>
              <w:rPr>
                <w:rFonts w:hint="eastAsia" w:ascii="Times New Roman" w:hAnsi="Times New Roman"/>
                <w:szCs w:val="28"/>
              </w:rPr>
              <w:t>1套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hint="default" w:ascii="Times New Roman" w:hAnsi="Times New Roman"/>
                <w:lang w:val="en-US" w:eastAsia="zh-CN"/>
              </w:rPr>
            </w:pPr>
            <w:r>
              <w:rPr>
                <w:rFonts w:hint="eastAsia" w:ascii="Times New Roman" w:hAnsi="Times New Roman"/>
                <w:lang w:val="en-US" w:eastAsia="zh-CN"/>
              </w:rPr>
              <w:t>4.7</w:t>
            </w:r>
          </w:p>
        </w:tc>
        <w:tc>
          <w:tcPr>
            <w:tcW w:w="1488" w:type="pct"/>
            <w:vAlign w:val="center"/>
          </w:tcPr>
          <w:p>
            <w:pPr>
              <w:pStyle w:val="128"/>
              <w:adjustRightInd w:val="0"/>
              <w:snapToGrid w:val="0"/>
              <w:spacing w:beforeLines="0" w:afterLines="0"/>
              <w:rPr>
                <w:rFonts w:hint="eastAsia" w:ascii="Times New Roman" w:hAnsi="Times New Roman"/>
                <w:szCs w:val="28"/>
              </w:rPr>
            </w:pPr>
            <w:r>
              <w:rPr>
                <w:rFonts w:hint="eastAsia" w:ascii="Times New Roman" w:hAnsi="Times New Roman"/>
                <w:szCs w:val="28"/>
              </w:rPr>
              <w:t>闭环测试</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8"/>
                <w:lang w:val="en-US" w:eastAsia="zh-CN" w:bidi="ar-SA"/>
              </w:rPr>
            </w:pPr>
            <w:r>
              <w:rPr>
                <w:rFonts w:hint="eastAsia" w:ascii="Times New Roman" w:hAnsi="Times New Roman"/>
                <w:szCs w:val="28"/>
              </w:rPr>
              <w:t>1套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hint="default" w:ascii="Times New Roman" w:hAnsi="Times New Roman"/>
                <w:lang w:val="en-US" w:eastAsia="zh-CN"/>
              </w:rPr>
            </w:pPr>
            <w:r>
              <w:rPr>
                <w:rFonts w:hint="eastAsia" w:ascii="Times New Roman" w:hAnsi="Times New Roman"/>
                <w:lang w:val="en-US" w:eastAsia="zh-CN"/>
              </w:rPr>
              <w:t>4.8</w:t>
            </w:r>
          </w:p>
        </w:tc>
        <w:tc>
          <w:tcPr>
            <w:tcW w:w="1488" w:type="pct"/>
            <w:vAlign w:val="center"/>
          </w:tcPr>
          <w:p>
            <w:pPr>
              <w:pStyle w:val="128"/>
              <w:adjustRightInd w:val="0"/>
              <w:snapToGrid w:val="0"/>
              <w:spacing w:beforeLines="0" w:afterLines="0"/>
              <w:rPr>
                <w:rFonts w:hint="eastAsia" w:ascii="Times New Roman" w:hAnsi="Times New Roman"/>
                <w:szCs w:val="28"/>
              </w:rPr>
            </w:pPr>
            <w:r>
              <w:rPr>
                <w:rFonts w:hint="eastAsia" w:ascii="Times New Roman" w:hAnsi="Times New Roman"/>
                <w:szCs w:val="28"/>
              </w:rPr>
              <w:t>现场调试</w:t>
            </w:r>
          </w:p>
        </w:tc>
        <w:tc>
          <w:tcPr>
            <w:tcW w:w="513" w:type="pct"/>
            <w:vAlign w:val="center"/>
          </w:tcPr>
          <w:p>
            <w:pPr>
              <w:pStyle w:val="128"/>
              <w:adjustRightInd w:val="0"/>
              <w:snapToGrid w:val="0"/>
              <w:spacing w:beforeLines="0" w:afterLines="0"/>
              <w:jc w:val="center"/>
              <w:rPr>
                <w:rFonts w:hint="eastAsia" w:ascii="Times New Roman" w:hAnsi="Times New Roman" w:eastAsiaTheme="minorEastAsia" w:cstheme="minorBidi"/>
                <w:kern w:val="2"/>
                <w:sz w:val="21"/>
                <w:szCs w:val="28"/>
                <w:lang w:val="en-US" w:eastAsia="zh-CN" w:bidi="ar-SA"/>
              </w:rPr>
            </w:pPr>
            <w:r>
              <w:rPr>
                <w:rFonts w:hint="eastAsia" w:ascii="Times New Roman" w:hAnsi="Times New Roman"/>
                <w:szCs w:val="28"/>
              </w:rPr>
              <w:t>1套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jc w:val="center"/>
              <w:rPr>
                <w:rFonts w:hint="default" w:ascii="Times New Roman" w:hAnsi="Times New Roman"/>
                <w:lang w:val="en-US" w:eastAsia="zh-CN"/>
              </w:rPr>
            </w:pPr>
            <w:r>
              <w:rPr>
                <w:rFonts w:hint="eastAsia" w:ascii="Times New Roman" w:hAnsi="Times New Roman"/>
                <w:lang w:val="en-US" w:eastAsia="zh-CN"/>
              </w:rPr>
              <w:t>4.9</w:t>
            </w:r>
          </w:p>
        </w:tc>
        <w:tc>
          <w:tcPr>
            <w:tcW w:w="1488" w:type="pct"/>
            <w:vAlign w:val="center"/>
          </w:tcPr>
          <w:p>
            <w:pPr>
              <w:pStyle w:val="128"/>
              <w:adjustRightInd w:val="0"/>
              <w:snapToGrid w:val="0"/>
              <w:spacing w:beforeLines="0" w:afterLines="0"/>
              <w:rPr>
                <w:rFonts w:hint="eastAsia" w:ascii="Times New Roman" w:hAnsi="Times New Roman"/>
                <w:szCs w:val="28"/>
              </w:rPr>
            </w:pPr>
            <w:r>
              <w:rPr>
                <w:rFonts w:hint="eastAsia" w:ascii="Times New Roman" w:hAnsi="Times New Roman"/>
                <w:szCs w:val="28"/>
              </w:rPr>
              <w:t>差旅费</w:t>
            </w:r>
          </w:p>
        </w:tc>
        <w:tc>
          <w:tcPr>
            <w:tcW w:w="513" w:type="pct"/>
            <w:vAlign w:val="center"/>
          </w:tcPr>
          <w:p>
            <w:pPr>
              <w:pStyle w:val="128"/>
              <w:adjustRightInd w:val="0"/>
              <w:snapToGrid w:val="0"/>
              <w:spacing w:beforeLines="0" w:afterLines="0"/>
              <w:jc w:val="center"/>
              <w:rPr>
                <w:rFonts w:hint="eastAsia" w:ascii="Times New Roman" w:hAnsi="Times New Roman"/>
                <w:szCs w:val="28"/>
              </w:rPr>
            </w:pPr>
            <w:r>
              <w:rPr>
                <w:rFonts w:hint="eastAsia" w:ascii="Times New Roman" w:hAnsi="Times New Roman"/>
                <w:szCs w:val="28"/>
              </w:rPr>
              <w:t>1套</w:t>
            </w:r>
          </w:p>
        </w:tc>
        <w:tc>
          <w:tcPr>
            <w:tcW w:w="2439" w:type="pct"/>
            <w:vAlign w:val="center"/>
          </w:tcPr>
          <w:p>
            <w:pPr>
              <w:pStyle w:val="128"/>
              <w:adjustRightInd w:val="0"/>
              <w:snapToGrid w:val="0"/>
              <w:spacing w:beforeLines="0" w:afterLines="0"/>
              <w:jc w:val="left"/>
              <w:rPr>
                <w:rFonts w:ascii="Times New Roman" w:hAnsi="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681" w:hRule="atLeast"/>
        </w:trPr>
        <w:tc>
          <w:tcPr>
            <w:tcW w:w="559" w:type="pct"/>
            <w:vAlign w:val="center"/>
          </w:tcPr>
          <w:p>
            <w:pPr>
              <w:pStyle w:val="128"/>
              <w:adjustRightInd w:val="0"/>
              <w:snapToGrid w:val="0"/>
              <w:spacing w:beforeLines="0" w:afterLines="0"/>
              <w:ind w:hanging="75"/>
              <w:jc w:val="center"/>
              <w:rPr>
                <w:rFonts w:hint="eastAsia" w:ascii="Times New Roman" w:hAnsi="Times New Roman" w:eastAsiaTheme="minorEastAsia"/>
                <w:b/>
                <w:lang w:eastAsia="zh-CN"/>
              </w:rPr>
            </w:pPr>
            <w:r>
              <w:rPr>
                <w:rFonts w:hint="eastAsia" w:ascii="Times New Roman" w:hAnsi="Times New Roman"/>
                <w:b/>
                <w:lang w:val="en-US" w:eastAsia="zh-CN"/>
              </w:rPr>
              <w:t>5</w:t>
            </w:r>
          </w:p>
        </w:tc>
        <w:tc>
          <w:tcPr>
            <w:tcW w:w="1488" w:type="pct"/>
            <w:vAlign w:val="center"/>
          </w:tcPr>
          <w:p>
            <w:pPr>
              <w:pStyle w:val="128"/>
              <w:adjustRightInd w:val="0"/>
              <w:snapToGrid w:val="0"/>
              <w:spacing w:beforeLines="0" w:afterLines="0"/>
              <w:rPr>
                <w:rFonts w:hint="default" w:ascii="Times New Roman" w:hAnsi="Times New Roman" w:eastAsiaTheme="minorEastAsia"/>
                <w:b/>
                <w:szCs w:val="28"/>
                <w:lang w:val="en-US" w:eastAsia="zh-CN"/>
              </w:rPr>
            </w:pPr>
            <w:r>
              <w:rPr>
                <w:rFonts w:hint="eastAsia" w:ascii="Times New Roman" w:hAnsi="Times New Roman"/>
                <w:b/>
                <w:szCs w:val="28"/>
                <w:lang w:val="en-US" w:eastAsia="zh-CN"/>
              </w:rPr>
              <w:t>包装运输</w:t>
            </w:r>
          </w:p>
        </w:tc>
        <w:tc>
          <w:tcPr>
            <w:tcW w:w="513" w:type="pct"/>
            <w:vAlign w:val="center"/>
          </w:tcPr>
          <w:p>
            <w:pPr>
              <w:pStyle w:val="128"/>
              <w:adjustRightInd w:val="0"/>
              <w:snapToGrid w:val="0"/>
              <w:spacing w:beforeLines="0" w:afterLines="0"/>
              <w:jc w:val="center"/>
              <w:rPr>
                <w:rFonts w:ascii="Times New Roman" w:hAnsi="Times New Roman"/>
                <w:b/>
              </w:rPr>
            </w:pPr>
          </w:p>
        </w:tc>
        <w:tc>
          <w:tcPr>
            <w:tcW w:w="2439" w:type="pct"/>
            <w:vAlign w:val="center"/>
          </w:tcPr>
          <w:p>
            <w:pPr>
              <w:pStyle w:val="128"/>
              <w:adjustRightInd w:val="0"/>
              <w:snapToGrid w:val="0"/>
              <w:spacing w:beforeLines="0" w:afterLines="0"/>
              <w:jc w:val="left"/>
              <w:rPr>
                <w:rFonts w:ascii="Times New Roman" w:hAnsi="Times New Roman"/>
                <w:b/>
                <w:sz w:val="18"/>
                <w:szCs w:val="18"/>
              </w:rPr>
            </w:pPr>
          </w:p>
        </w:tc>
      </w:tr>
    </w:tbl>
    <w:p>
      <w:pPr>
        <w:spacing w:before="240" w:beforeLines="100" w:line="360" w:lineRule="auto"/>
        <w:ind w:firstLine="482" w:firstLineChars="200"/>
        <w:rPr>
          <w:rFonts w:ascii="Times New Roman" w:hAnsi="Times New Roman" w:eastAsia="宋体" w:cs="宋体"/>
          <w:b/>
          <w:color w:val="000000"/>
          <w:sz w:val="24"/>
          <w:szCs w:val="24"/>
        </w:rPr>
      </w:pPr>
      <w:r>
        <w:rPr>
          <w:rFonts w:hint="eastAsia" w:ascii="Times New Roman" w:hAnsi="Times New Roman" w:eastAsia="宋体" w:cs="宋体"/>
          <w:b/>
          <w:color w:val="000000"/>
          <w:sz w:val="24"/>
          <w:szCs w:val="24"/>
        </w:rPr>
        <w:t>（一）一般界定</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3.包括货物维护维修所必需的专用工具。</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Times New Roman" w:hAnsi="Times New Roman" w:eastAsia="宋体" w:cs="宋体"/>
          <w:color w:val="000000"/>
          <w:sz w:val="24"/>
          <w:szCs w:val="24"/>
        </w:rPr>
        <w:t>。</w:t>
      </w:r>
    </w:p>
    <w:p>
      <w:pPr>
        <w:spacing w:line="360" w:lineRule="auto"/>
        <w:ind w:firstLine="482" w:firstLineChars="200"/>
        <w:rPr>
          <w:rFonts w:ascii="Times New Roman" w:hAnsi="Times New Roman" w:eastAsia="宋体" w:cs="宋体"/>
          <w:b/>
          <w:color w:val="000000"/>
          <w:sz w:val="24"/>
          <w:szCs w:val="24"/>
        </w:rPr>
      </w:pPr>
      <w:r>
        <w:rPr>
          <w:rFonts w:hint="eastAsia" w:ascii="Times New Roman" w:hAnsi="Times New Roman" w:eastAsia="宋体" w:cs="宋体"/>
          <w:b/>
          <w:color w:val="000000"/>
          <w:sz w:val="24"/>
          <w:szCs w:val="24"/>
        </w:rPr>
        <w:t>（二）供货范围边界界定</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r>
        <w:rPr>
          <w:rFonts w:hint="eastAsia" w:ascii="宋体" w:hAnsi="宋体" w:eastAsia="宋体" w:cs="宋体"/>
          <w:sz w:val="24"/>
          <w:szCs w:val="24"/>
        </w:rPr>
        <w:t>（自设备至接线端之间电源线或电缆，由卖方负责提供）</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4.以“交钥匙”方式采购的货物，在满足技术标书本节上述要求之外，同时包括货物正常运行、使用所需要的过桥、护栏、防护网、盖板等辅助设</w:t>
      </w:r>
      <w:r>
        <w:rPr>
          <w:rFonts w:hint="eastAsia" w:ascii="Times New Roman" w:hAnsi="Times New Roman" w:eastAsia="宋体" w:cs="宋体"/>
          <w:color w:val="000000"/>
          <w:sz w:val="24"/>
          <w:szCs w:val="24"/>
        </w:rPr>
        <w:t>。</w:t>
      </w:r>
    </w:p>
    <w:p>
      <w:pPr>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二、备品备件、易损件和专用耗材供货范围</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1.备品备件、易损件和专用耗材是招标人为保证货物质保期之后正常运行一年所自备自用的备品备件、易损件和专用耗材。</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2.供货范围包括易损件和专用耗材的制造图纸及其技术要求等资料，如涉及专有技术或无法提供，应在投标文件中予以澄清或说明</w:t>
      </w:r>
      <w:r>
        <w:rPr>
          <w:rFonts w:hint="eastAsia" w:ascii="Times New Roman" w:hAnsi="Times New Roman" w:eastAsia="宋体" w:cs="宋体"/>
          <w:color w:val="000000"/>
          <w:sz w:val="24"/>
          <w:szCs w:val="24"/>
        </w:rPr>
        <w:t>。</w:t>
      </w:r>
    </w:p>
    <w:p>
      <w:pPr>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三、技术资料供货范围</w:t>
      </w:r>
    </w:p>
    <w:p>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sz w:val="24"/>
          <w:szCs w:val="24"/>
        </w:rPr>
        <w:t>技术资料供货范</w:t>
      </w:r>
      <w:r>
        <w:rPr>
          <w:rFonts w:hint="eastAsia" w:ascii="Times New Roman" w:hAnsi="Times New Roman" w:eastAsia="宋体" w:cs="宋体"/>
          <w:bCs/>
          <w:sz w:val="24"/>
          <w:szCs w:val="24"/>
        </w:rPr>
        <w:t>围包括：</w:t>
      </w:r>
    </w:p>
    <w:p>
      <w:pPr>
        <w:spacing w:line="360" w:lineRule="auto"/>
        <w:ind w:firstLine="480" w:firstLineChars="200"/>
        <w:rPr>
          <w:rFonts w:ascii="Times New Roman" w:hAnsi="Times New Roman" w:eastAsia="宋体" w:cs="宋体"/>
          <w:bCs/>
          <w:sz w:val="24"/>
          <w:szCs w:val="24"/>
        </w:rPr>
      </w:pPr>
      <w:r>
        <w:rPr>
          <w:rFonts w:hint="eastAsia" w:ascii="Times New Roman" w:hAnsi="Times New Roman" w:eastAsia="宋体" w:cs="宋体"/>
          <w:bCs/>
          <w:sz w:val="24"/>
          <w:szCs w:val="24"/>
        </w:rPr>
        <w:t>1.在合同签订后</w:t>
      </w:r>
      <w:r>
        <w:rPr>
          <w:rFonts w:hint="eastAsia" w:ascii="Times New Roman" w:hAnsi="Times New Roman" w:eastAsia="宋体" w:cs="宋体"/>
          <w:bCs/>
          <w:sz w:val="24"/>
          <w:szCs w:val="24"/>
          <w:u w:val="single"/>
        </w:rPr>
        <w:t xml:space="preserve"> 60 </w:t>
      </w:r>
      <w:r>
        <w:rPr>
          <w:rFonts w:hint="eastAsia" w:ascii="Times New Roman" w:hAnsi="Times New Roman"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2.在预验收前，提供货物各部分的功能描述文件、图片、影像等资料（进口、设备应有中外文对照）。</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8.本条款所列的技术资料、图片、影像等，投标人应各提供</w:t>
      </w:r>
      <w:r>
        <w:rPr>
          <w:rFonts w:ascii="Times New Roman" w:hAnsi="Times New Roman" w:eastAsia="宋体" w:cs="宋体"/>
          <w:sz w:val="24"/>
          <w:szCs w:val="24"/>
        </w:rPr>
        <w:t>3</w:t>
      </w:r>
      <w:r>
        <w:rPr>
          <w:rFonts w:hint="eastAsia" w:ascii="Times New Roman" w:hAnsi="Times New Roman" w:eastAsia="宋体" w:cs="宋体"/>
          <w:sz w:val="24"/>
          <w:szCs w:val="24"/>
        </w:rPr>
        <w:t>套，其中</w:t>
      </w:r>
      <w:r>
        <w:rPr>
          <w:rFonts w:ascii="Times New Roman" w:hAnsi="Times New Roman" w:eastAsia="宋体" w:cs="宋体"/>
          <w:sz w:val="24"/>
          <w:szCs w:val="24"/>
        </w:rPr>
        <w:t>1</w:t>
      </w:r>
      <w:r>
        <w:rPr>
          <w:rFonts w:hint="eastAsia" w:ascii="Times New Roman" w:hAnsi="Times New Roman" w:eastAsia="宋体" w:cs="宋体"/>
          <w:sz w:val="24"/>
          <w:szCs w:val="24"/>
        </w:rPr>
        <w:t>套为电子版光盘；每份技术文件应装有目录清单。</w:t>
      </w:r>
    </w:p>
    <w:p>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9.本条款所列要求，如招标人认为投标人提供的资料不能满足要求时，有权要求投标人免费补充或增加</w:t>
      </w:r>
      <w:r>
        <w:rPr>
          <w:rFonts w:hint="eastAsia" w:ascii="Times New Roman" w:hAnsi="Times New Roman" w:eastAsia="宋体" w:cs="宋体"/>
          <w:color w:val="000000"/>
          <w:sz w:val="24"/>
          <w:szCs w:val="24"/>
        </w:rPr>
        <w:t>。</w:t>
      </w:r>
    </w:p>
    <w:p>
      <w:pPr>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四、供货范围特别提示</w:t>
      </w:r>
    </w:p>
    <w:p>
      <w:pPr>
        <w:spacing w:line="360" w:lineRule="auto"/>
        <w:ind w:firstLine="480" w:firstLineChars="200"/>
        <w:rPr>
          <w:rFonts w:ascii="Times New Roman" w:hAnsi="Times New Roman" w:eastAsia="宋体" w:cs="宋体"/>
          <w:color w:val="000000"/>
          <w:sz w:val="24"/>
          <w:szCs w:val="24"/>
        </w:rPr>
      </w:pPr>
      <w:r>
        <w:rPr>
          <w:rFonts w:hint="eastAsia" w:ascii="Times New Roman" w:hAnsi="Times New Roman" w:eastAsia="宋体" w:cs="宋体"/>
          <w:sz w:val="24"/>
          <w:szCs w:val="24"/>
        </w:rPr>
        <w:t>如果投标人认为本节所列的供货范围难以满足，则仍需要按照本要求提供，但该部分货物应当在投标报价中单独列明货物名称及品质、货值</w:t>
      </w:r>
      <w:r>
        <w:rPr>
          <w:rFonts w:hint="eastAsia" w:ascii="Times New Roman" w:hAnsi="Times New Roman" w:eastAsia="宋体" w:cs="宋体"/>
          <w:color w:val="000000"/>
          <w:sz w:val="24"/>
          <w:szCs w:val="24"/>
        </w:rPr>
        <w:t>。</w:t>
      </w:r>
    </w:p>
    <w:p>
      <w:pPr>
        <w:spacing w:line="360" w:lineRule="auto"/>
        <w:ind w:firstLine="480" w:firstLineChars="200"/>
        <w:rPr>
          <w:rFonts w:ascii="Times New Roman" w:hAnsi="Times New Roman" w:eastAsia="宋体" w:cs="宋体"/>
          <w:color w:val="000000"/>
          <w:sz w:val="24"/>
          <w:szCs w:val="24"/>
        </w:rPr>
      </w:pPr>
    </w:p>
    <w:p>
      <w:pPr>
        <w:spacing w:line="360" w:lineRule="auto"/>
        <w:ind w:firstLine="480" w:firstLineChars="200"/>
        <w:rPr>
          <w:rFonts w:ascii="Times New Roman" w:hAnsi="Times New Roman" w:eastAsia="宋体" w:cs="宋体"/>
          <w:color w:val="000000"/>
          <w:sz w:val="24"/>
          <w:szCs w:val="24"/>
        </w:rPr>
      </w:pPr>
    </w:p>
    <w:p>
      <w:pPr>
        <w:spacing w:line="360" w:lineRule="auto"/>
        <w:ind w:firstLine="480" w:firstLineChars="200"/>
        <w:rPr>
          <w:rFonts w:ascii="Times New Roman" w:hAnsi="Times New Roman" w:eastAsia="宋体" w:cs="宋体"/>
          <w:color w:val="000000"/>
          <w:sz w:val="24"/>
          <w:szCs w:val="24"/>
        </w:rPr>
      </w:pPr>
    </w:p>
    <w:p>
      <w:pPr>
        <w:spacing w:line="360" w:lineRule="auto"/>
        <w:ind w:firstLine="480" w:firstLineChars="200"/>
        <w:rPr>
          <w:rFonts w:ascii="Times New Roman" w:hAnsi="Times New Roman" w:eastAsia="宋体" w:cs="宋体"/>
          <w:color w:val="000000"/>
          <w:sz w:val="24"/>
          <w:szCs w:val="24"/>
        </w:rPr>
      </w:pPr>
    </w:p>
    <w:p>
      <w:pPr>
        <w:spacing w:line="360" w:lineRule="auto"/>
        <w:ind w:firstLine="480" w:firstLineChars="200"/>
        <w:rPr>
          <w:rFonts w:ascii="Times New Roman" w:hAnsi="Times New Roman" w:eastAsia="宋体" w:cs="宋体"/>
          <w:color w:val="000000"/>
          <w:sz w:val="24"/>
          <w:szCs w:val="24"/>
        </w:rPr>
      </w:pPr>
    </w:p>
    <w:p>
      <w:pPr>
        <w:spacing w:line="360" w:lineRule="auto"/>
        <w:rPr>
          <w:rFonts w:ascii="Times New Roman" w:hAnsi="Times New Roman" w:eastAsia="宋体" w:cs="Times New Roman"/>
          <w:color w:val="000000"/>
          <w:sz w:val="24"/>
          <w:szCs w:val="20"/>
        </w:rPr>
      </w:pPr>
    </w:p>
    <w:p>
      <w:pPr>
        <w:keepNext/>
        <w:keepLines/>
        <w:spacing w:line="360" w:lineRule="auto"/>
        <w:jc w:val="center"/>
        <w:outlineLvl w:val="2"/>
        <w:rPr>
          <w:rFonts w:ascii="Times New Roman" w:hAnsi="Times New Roman" w:eastAsia="宋体" w:cs="宋体"/>
          <w:b/>
          <w:bCs/>
          <w:sz w:val="24"/>
          <w:szCs w:val="32"/>
        </w:rPr>
      </w:pPr>
      <w:r>
        <w:rPr>
          <w:rFonts w:hint="eastAsia" w:ascii="Times New Roman" w:hAnsi="Times New Roman" w:eastAsia="宋体" w:cs="宋体"/>
          <w:b/>
          <w:bCs/>
          <w:sz w:val="24"/>
          <w:szCs w:val="32"/>
        </w:rPr>
        <w:t>第二节  供货方式</w:t>
      </w:r>
    </w:p>
    <w:p>
      <w:pPr>
        <w:spacing w:line="360" w:lineRule="auto"/>
        <w:ind w:firstLine="482" w:firstLineChars="200"/>
        <w:outlineLvl w:val="3"/>
        <w:rPr>
          <w:rFonts w:ascii="Times New Roman" w:hAnsi="Times New Roman" w:eastAsia="宋体" w:cs="宋体"/>
          <w:sz w:val="24"/>
          <w:szCs w:val="24"/>
        </w:rPr>
      </w:pPr>
      <w:r>
        <w:rPr>
          <w:rFonts w:hint="eastAsia" w:ascii="Times New Roman" w:hAnsi="Times New Roman" w:eastAsia="宋体" w:cs="宋体"/>
          <w:b/>
          <w:sz w:val="24"/>
          <w:szCs w:val="24"/>
        </w:rPr>
        <w:t>一、供货方式</w:t>
      </w:r>
    </w:p>
    <w:p>
      <w:pPr>
        <w:spacing w:line="360" w:lineRule="auto"/>
        <w:ind w:firstLine="480" w:firstLineChars="200"/>
        <w:rPr>
          <w:rFonts w:ascii="Times New Roman" w:hAnsi="Times New Roman" w:eastAsia="宋体" w:cs="宋体"/>
          <w:b/>
          <w:i/>
          <w:sz w:val="24"/>
          <w:szCs w:val="24"/>
        </w:rPr>
      </w:pPr>
      <w:r>
        <w:rPr>
          <w:rFonts w:hint="eastAsia" w:ascii="Times New Roman" w:hAnsi="Times New Roman"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Times New Roman" w:hAnsi="Times New Roman" w:eastAsia="宋体" w:cs="宋体"/>
          <w:sz w:val="24"/>
          <w:szCs w:val="24"/>
        </w:rPr>
      </w:pPr>
      <w:r>
        <w:rPr>
          <w:rFonts w:hint="eastAsia" w:ascii="Times New Roman" w:hAnsi="Times New Roman" w:eastAsia="宋体" w:cs="宋体"/>
          <w:b/>
          <w:bCs/>
          <w:sz w:val="24"/>
          <w:szCs w:val="24"/>
        </w:rPr>
        <w:t>二、供货地点：</w:t>
      </w:r>
      <w:r>
        <w:rPr>
          <w:rFonts w:hint="eastAsia" w:ascii="Times New Roman" w:hAnsi="Times New Roman" w:eastAsia="宋体" w:cs="宋体"/>
          <w:sz w:val="24"/>
          <w:szCs w:val="28"/>
        </w:rPr>
        <w:t>济南市高新区华奥路777号中国重汽科技大厦园区</w:t>
      </w:r>
      <w:r>
        <w:rPr>
          <w:rFonts w:hint="eastAsia" w:ascii="Times New Roman" w:hAnsi="Times New Roman" w:eastAsia="宋体" w:cs="宋体"/>
          <w:sz w:val="24"/>
          <w:szCs w:val="28"/>
          <w:lang w:val="en-US" w:eastAsia="zh-CN"/>
        </w:rPr>
        <w:t>营销中心三楼</w:t>
      </w:r>
      <w:r>
        <w:rPr>
          <w:rFonts w:hint="eastAsia" w:ascii="Times New Roman" w:hAnsi="Times New Roman" w:eastAsia="宋体" w:cs="宋体"/>
          <w:sz w:val="24"/>
          <w:szCs w:val="24"/>
        </w:rPr>
        <w:t>。</w:t>
      </w:r>
    </w:p>
    <w:p>
      <w:pPr>
        <w:spacing w:line="360" w:lineRule="auto"/>
        <w:ind w:firstLine="482" w:firstLineChars="200"/>
        <w:jc w:val="left"/>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三、供货时间</w:t>
      </w:r>
    </w:p>
    <w:p>
      <w:pPr>
        <w:spacing w:line="360" w:lineRule="auto"/>
        <w:ind w:firstLine="480" w:firstLineChars="200"/>
        <w:jc w:val="left"/>
        <w:rPr>
          <w:rFonts w:ascii="Times New Roman" w:hAnsi="Times New Roman" w:eastAsia="宋体" w:cs="宋体"/>
          <w:sz w:val="24"/>
          <w:szCs w:val="24"/>
        </w:rPr>
      </w:pPr>
      <w:r>
        <w:rPr>
          <w:rFonts w:hint="eastAsia" w:ascii="Times New Roman" w:hAnsi="Times New Roman" w:eastAsia="宋体" w:cs="宋体"/>
          <w:sz w:val="24"/>
          <w:szCs w:val="24"/>
          <w:highlight w:val="yellow"/>
        </w:rPr>
        <w:t>1.自合同生效后</w:t>
      </w:r>
      <w:r>
        <w:rPr>
          <w:rFonts w:hint="eastAsia" w:ascii="Times New Roman" w:hAnsi="Times New Roman" w:eastAsia="宋体" w:cs="宋体"/>
          <w:sz w:val="24"/>
          <w:szCs w:val="24"/>
          <w:highlight w:val="yellow"/>
          <w:u w:val="single"/>
        </w:rPr>
        <w:t>90</w:t>
      </w:r>
      <w:r>
        <w:rPr>
          <w:rFonts w:hint="eastAsia" w:ascii="Times New Roman" w:hAnsi="Times New Roman" w:eastAsia="宋体" w:cs="宋体"/>
          <w:sz w:val="24"/>
          <w:szCs w:val="24"/>
          <w:highlight w:val="yellow"/>
        </w:rPr>
        <w:t>个日历日内，中标人须交付设备到招标人指定的安装和使用的现场。</w:t>
      </w:r>
    </w:p>
    <w:p>
      <w:pPr>
        <w:spacing w:line="360" w:lineRule="auto"/>
        <w:ind w:firstLine="480" w:firstLineChars="200"/>
        <w:jc w:val="left"/>
        <w:rPr>
          <w:rFonts w:ascii="Times New Roman" w:hAnsi="Times New Roman" w:eastAsia="宋体" w:cs="宋体"/>
          <w:sz w:val="24"/>
          <w:szCs w:val="24"/>
        </w:rPr>
      </w:pPr>
      <w:r>
        <w:rPr>
          <w:rFonts w:hint="eastAsia" w:ascii="Times New Roman" w:hAnsi="Times New Roman" w:eastAsia="宋体" w:cs="宋体"/>
          <w:sz w:val="24"/>
          <w:szCs w:val="24"/>
        </w:rPr>
        <w:t>2.接续</w:t>
      </w:r>
      <w:r>
        <w:rPr>
          <w:rFonts w:hint="eastAsia" w:ascii="Times New Roman" w:hAnsi="Times New Roman" w:eastAsia="宋体" w:cs="宋体"/>
          <w:sz w:val="24"/>
          <w:szCs w:val="24"/>
          <w:u w:val="single"/>
          <w:shd w:val="clear" w:color="auto" w:fill="FFFFFF"/>
          <w:lang w:val="en-US" w:eastAsia="zh-CN"/>
        </w:rPr>
        <w:t>9</w:t>
      </w:r>
      <w:r>
        <w:rPr>
          <w:rFonts w:hint="eastAsia" w:ascii="Times New Roman" w:hAnsi="Times New Roman" w:eastAsia="宋体" w:cs="宋体"/>
          <w:sz w:val="24"/>
          <w:szCs w:val="24"/>
          <w:u w:val="single"/>
          <w:shd w:val="clear" w:color="auto" w:fill="FFFFFF"/>
        </w:rPr>
        <w:t>0</w:t>
      </w:r>
      <w:r>
        <w:rPr>
          <w:rFonts w:hint="eastAsia" w:ascii="Times New Roman" w:hAnsi="Times New Roman" w:eastAsia="宋体" w:cs="宋体"/>
          <w:sz w:val="24"/>
          <w:szCs w:val="24"/>
        </w:rPr>
        <w:t>个日历日之内安装调试完毕。</w:t>
      </w:r>
    </w:p>
    <w:p>
      <w:pPr>
        <w:spacing w:line="360" w:lineRule="auto"/>
        <w:ind w:firstLine="480" w:firstLineChars="200"/>
        <w:jc w:val="left"/>
        <w:rPr>
          <w:rFonts w:ascii="Times New Roman" w:hAnsi="Times New Roman" w:eastAsia="宋体" w:cs="宋体"/>
          <w:sz w:val="24"/>
          <w:szCs w:val="24"/>
        </w:rPr>
      </w:pPr>
      <w:r>
        <w:rPr>
          <w:rFonts w:hint="eastAsia" w:ascii="Times New Roman" w:hAnsi="Times New Roman" w:eastAsia="宋体" w:cs="宋体"/>
          <w:sz w:val="24"/>
          <w:szCs w:val="24"/>
        </w:rPr>
        <w:t>3.接续</w:t>
      </w:r>
      <w:r>
        <w:rPr>
          <w:rFonts w:hint="eastAsia" w:ascii="Times New Roman" w:hAnsi="Times New Roman" w:eastAsia="宋体" w:cs="宋体"/>
          <w:sz w:val="24"/>
          <w:szCs w:val="24"/>
          <w:u w:val="single"/>
        </w:rPr>
        <w:t>30</w:t>
      </w:r>
      <w:r>
        <w:rPr>
          <w:rFonts w:hint="eastAsia" w:ascii="Times New Roman" w:hAnsi="Times New Roman" w:eastAsia="宋体" w:cs="宋体"/>
          <w:sz w:val="24"/>
          <w:szCs w:val="24"/>
        </w:rPr>
        <w:t>个日历日之内完成终验收。</w:t>
      </w:r>
    </w:p>
    <w:p>
      <w:pPr>
        <w:spacing w:line="360" w:lineRule="auto"/>
        <w:ind w:firstLine="480" w:firstLineChars="200"/>
        <w:jc w:val="left"/>
        <w:rPr>
          <w:rFonts w:ascii="Times New Roman" w:hAnsi="Times New Roman" w:eastAsia="宋体" w:cs="宋体"/>
          <w:color w:val="000000"/>
          <w:sz w:val="24"/>
          <w:szCs w:val="20"/>
        </w:rPr>
      </w:pPr>
      <w:r>
        <w:rPr>
          <w:rFonts w:hint="eastAsia" w:ascii="Times New Roman" w:hAnsi="Times New Roman" w:eastAsia="宋体" w:cs="宋体"/>
          <w:sz w:val="24"/>
          <w:szCs w:val="24"/>
        </w:rPr>
        <w:t>安装调试时间或终验收时间超过</w:t>
      </w:r>
      <w:r>
        <w:rPr>
          <w:rFonts w:hint="eastAsia" w:ascii="Times New Roman" w:hAnsi="Times New Roman" w:eastAsia="宋体" w:cs="宋体"/>
          <w:sz w:val="24"/>
          <w:szCs w:val="24"/>
          <w:u w:val="single"/>
        </w:rPr>
        <w:t>10</w:t>
      </w:r>
      <w:r>
        <w:rPr>
          <w:rFonts w:hint="eastAsia" w:ascii="Times New Roman" w:hAnsi="Times New Roman" w:eastAsia="宋体" w:cs="宋体"/>
          <w:sz w:val="24"/>
          <w:szCs w:val="24"/>
        </w:rPr>
        <w:t>天的，投标人应当随标书提供详细的工期计划</w:t>
      </w:r>
      <w:r>
        <w:rPr>
          <w:rFonts w:hint="eastAsia" w:ascii="Times New Roman" w:hAnsi="Times New Roman" w:eastAsia="宋体" w:cs="宋体"/>
          <w:color w:val="000000"/>
          <w:sz w:val="24"/>
          <w:szCs w:val="20"/>
        </w:rPr>
        <w:t>。</w:t>
      </w:r>
    </w:p>
    <w:p>
      <w:pPr>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四、包装</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8.包装箱应连续编号，不应出现重复编号。</w:t>
      </w:r>
    </w:p>
    <w:p>
      <w:pPr>
        <w:adjustRightInd w:val="0"/>
        <w:snapToGrid w:val="0"/>
        <w:spacing w:line="360" w:lineRule="auto"/>
        <w:ind w:firstLine="480" w:firstLineChars="200"/>
        <w:rPr>
          <w:rFonts w:ascii="Times New Roman" w:hAnsi="Times New Roman" w:eastAsia="宋体" w:cs="宋体"/>
          <w:color w:val="000000"/>
          <w:sz w:val="24"/>
          <w:szCs w:val="20"/>
        </w:rPr>
      </w:pPr>
      <w:r>
        <w:rPr>
          <w:rFonts w:hint="eastAsia" w:ascii="Times New Roman" w:hAnsi="Times New Roman" w:eastAsia="宋体" w:cs="宋体"/>
          <w:sz w:val="24"/>
          <w:szCs w:val="24"/>
        </w:rPr>
        <w:t>9.在不受到外界破坏情况下，包装应保证自交货日起一年内货物（或设备）完好无损</w:t>
      </w:r>
      <w:r>
        <w:rPr>
          <w:rFonts w:hint="eastAsia" w:ascii="Times New Roman" w:hAnsi="Times New Roman" w:eastAsia="宋体" w:cs="宋体"/>
          <w:color w:val="000000"/>
          <w:sz w:val="24"/>
          <w:szCs w:val="20"/>
        </w:rPr>
        <w:t>。</w:t>
      </w:r>
    </w:p>
    <w:p>
      <w:pPr>
        <w:adjustRightInd w:val="0"/>
        <w:snapToGrid w:val="0"/>
        <w:spacing w:line="360" w:lineRule="auto"/>
        <w:ind w:firstLine="482" w:firstLineChars="200"/>
        <w:outlineLvl w:val="3"/>
        <w:rPr>
          <w:rFonts w:ascii="Times New Roman" w:hAnsi="Times New Roman" w:eastAsia="宋体" w:cs="宋体"/>
          <w:b/>
          <w:bCs/>
          <w:sz w:val="24"/>
          <w:szCs w:val="24"/>
        </w:rPr>
      </w:pPr>
      <w:r>
        <w:rPr>
          <w:rFonts w:hint="eastAsia" w:ascii="Times New Roman" w:hAnsi="Times New Roman" w:eastAsia="宋体" w:cs="宋体"/>
          <w:b/>
          <w:bCs/>
          <w:sz w:val="24"/>
          <w:szCs w:val="24"/>
        </w:rPr>
        <w:t>五、运输</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2.同批货物（或设备）应统一包装、编号运输。</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Times New Roman" w:hAnsi="Times New Roman" w:eastAsia="宋体" w:cs="宋体"/>
          <w:color w:val="000000"/>
          <w:sz w:val="24"/>
          <w:szCs w:val="20"/>
        </w:rPr>
      </w:pPr>
      <w:r>
        <w:rPr>
          <w:rFonts w:hint="eastAsia" w:ascii="Times New Roman" w:hAnsi="Times New Roman" w:eastAsia="宋体" w:cs="宋体"/>
          <w:sz w:val="24"/>
          <w:szCs w:val="24"/>
        </w:rPr>
        <w:t>5.货物（或设备）运抵交货地点后，应负责货物（或设备）的卸货、搬运、保管等事宜，或按照合同约定</w:t>
      </w:r>
      <w:r>
        <w:rPr>
          <w:rFonts w:hint="eastAsia" w:ascii="Times New Roman" w:hAnsi="Times New Roman" w:eastAsia="宋体" w:cs="宋体"/>
          <w:color w:val="000000"/>
          <w:sz w:val="24"/>
          <w:szCs w:val="20"/>
        </w:rPr>
        <w:t>。</w:t>
      </w:r>
    </w:p>
    <w:p>
      <w:pPr>
        <w:adjustRightInd w:val="0"/>
        <w:snapToGrid w:val="0"/>
        <w:spacing w:line="420" w:lineRule="exact"/>
        <w:ind w:firstLine="480" w:firstLineChars="200"/>
        <w:rPr>
          <w:rFonts w:ascii="Times New Roman" w:hAnsi="Times New Roman" w:eastAsia="宋体" w:cs="Times New Roman"/>
          <w:color w:val="000000"/>
          <w:sz w:val="24"/>
          <w:szCs w:val="20"/>
        </w:rPr>
      </w:pPr>
    </w:p>
    <w:p>
      <w:pPr>
        <w:keepNext/>
        <w:keepLines/>
        <w:spacing w:before="120" w:after="120" w:line="480" w:lineRule="exact"/>
        <w:jc w:val="center"/>
        <w:outlineLvl w:val="1"/>
        <w:rPr>
          <w:rFonts w:ascii="Times New Roman" w:hAnsi="Times New Roman" w:eastAsia="宋体" w:cs="Times New Roman"/>
          <w:b/>
          <w:bCs/>
          <w:kern w:val="44"/>
          <w:sz w:val="28"/>
          <w:szCs w:val="28"/>
        </w:rPr>
      </w:pPr>
      <w:r>
        <w:rPr>
          <w:rFonts w:ascii="Times New Roman" w:hAnsi="Times New Roman" w:eastAsia="黑体"/>
          <w:bCs/>
          <w:color w:val="000000"/>
          <w:kern w:val="44"/>
          <w:sz w:val="36"/>
          <w:szCs w:val="24"/>
        </w:rPr>
        <w:br w:type="page"/>
      </w:r>
      <w:bookmarkStart w:id="92" w:name="_Toc169605884"/>
      <w:r>
        <w:rPr>
          <w:rFonts w:hint="eastAsia" w:ascii="Times New Roman" w:hAnsi="Times New Roman" w:eastAsia="宋体" w:cs="Times New Roman"/>
          <w:b/>
          <w:bCs/>
          <w:kern w:val="44"/>
          <w:sz w:val="28"/>
          <w:szCs w:val="28"/>
        </w:rPr>
        <w:t>第四章  质保期及售后服务</w:t>
      </w:r>
      <w:bookmarkEnd w:id="92"/>
    </w:p>
    <w:p>
      <w:pPr>
        <w:pStyle w:val="121"/>
        <w:spacing w:line="360" w:lineRule="auto"/>
      </w:pPr>
      <w:r>
        <w:rPr>
          <w:rFonts w:hint="eastAsia"/>
        </w:rPr>
        <w:t>一、质保期及质保要求</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1.全部供货范围内的设备、材料、零配件和工器具等，除合同特别约定外，其质保期均自终验收签字生效之日起</w:t>
      </w:r>
      <w:r>
        <w:rPr>
          <w:rFonts w:hint="eastAsia" w:ascii="Times New Roman" w:hAnsi="Times New Roman" w:eastAsia="宋体" w:cs="宋体"/>
          <w:sz w:val="24"/>
          <w:szCs w:val="24"/>
          <w:u w:val="single"/>
        </w:rPr>
        <w:t xml:space="preserve"> 12 </w:t>
      </w:r>
      <w:r>
        <w:rPr>
          <w:rFonts w:hint="eastAsia" w:ascii="Times New Roman" w:hAnsi="Times New Roman" w:eastAsia="宋体" w:cs="宋体"/>
          <w:sz w:val="24"/>
          <w:szCs w:val="24"/>
        </w:rPr>
        <w:t>个月。</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4.质保期终止之日起一年内重复出现的质保期之内出现的故障，仍属质保范围而且应当免费。</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w:t>
      </w:r>
      <w:r>
        <w:rPr>
          <w:rFonts w:ascii="Times New Roman" w:hAnsi="Times New Roman" w:eastAsia="宋体" w:cs="宋体"/>
          <w:sz w:val="24"/>
          <w:szCs w:val="24"/>
        </w:rPr>
        <w:t>.</w:t>
      </w:r>
      <w:r>
        <w:rPr>
          <w:rFonts w:hint="eastAsia" w:ascii="Times New Roman" w:hAnsi="Times New Roman" w:eastAsia="宋体" w:cs="宋体"/>
          <w:sz w:val="24"/>
          <w:szCs w:val="24"/>
        </w:rPr>
        <w:t>质保期内免费提供针对本技术条件要求内容范围内的测试脚本开发适配服务。</w:t>
      </w:r>
    </w:p>
    <w:p>
      <w:pPr>
        <w:pStyle w:val="121"/>
        <w:spacing w:line="360" w:lineRule="auto"/>
      </w:pPr>
      <w:r>
        <w:rPr>
          <w:rFonts w:hint="eastAsia"/>
        </w:rPr>
        <w:t>二、技术及培训服务</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2.应免费提供一定数量的培训资料。</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21"/>
        <w:spacing w:line="360" w:lineRule="auto"/>
      </w:pPr>
      <w:r>
        <w:rPr>
          <w:rFonts w:hint="eastAsia"/>
        </w:rPr>
        <w:t>三、安装调试及验收服务</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6.服务缺陷视同货物缺陷和履约延期。</w:t>
      </w:r>
    </w:p>
    <w:p>
      <w:pPr>
        <w:pStyle w:val="121"/>
        <w:spacing w:line="360" w:lineRule="auto"/>
      </w:pPr>
      <w:r>
        <w:rPr>
          <w:rFonts w:hint="eastAsia"/>
          <w:highlight w:val="yellow"/>
        </w:rPr>
        <w:t>四、售后服务</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2.如发现所提供的货物存在问题，需要卖方解决或配合解决时：在质保期之内，应</w:t>
      </w:r>
      <w:r>
        <w:rPr>
          <w:rFonts w:hint="eastAsia" w:ascii="Times New Roman" w:hAnsi="Times New Roman" w:eastAsia="宋体" w:cs="宋体"/>
          <w:sz w:val="24"/>
          <w:szCs w:val="24"/>
          <w:highlight w:val="yellow"/>
        </w:rPr>
        <w:t>在接到通知后24小时内派有关人员到达现场；</w:t>
      </w:r>
      <w:r>
        <w:rPr>
          <w:rFonts w:hint="eastAsia" w:ascii="Times New Roman" w:hAnsi="Times New Roman" w:eastAsia="宋体" w:cs="宋体"/>
          <w:sz w:val="24"/>
          <w:szCs w:val="24"/>
        </w:rPr>
        <w:t>在质保期之外，应在接到通知后72小时内派有关人员到达现场。</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3.卖方派往买方使用现场的人员，应具有较高的业务素质；现场解决问题时，不得无故拖延或推迟，应为买方提供最佳的服务。</w:t>
      </w:r>
    </w:p>
    <w:p>
      <w:pPr>
        <w:pStyle w:val="121"/>
        <w:spacing w:line="360" w:lineRule="auto"/>
      </w:pPr>
      <w:r>
        <w:rPr>
          <w:rFonts w:hint="eastAsia"/>
        </w:rPr>
        <w:t>五、其它服务</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1.若卖方所提供货物有需要进口的，卖方一般应自行、自费办理。</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3.本章节条款所列“免费”，并非指定不可收费，而是指招标文件、投标文件、答疑文件、技术交流文件、技术标书和合同等范围之外，投标人不可另行收取的费用。</w:t>
      </w:r>
    </w:p>
    <w:p>
      <w:pPr>
        <w:pStyle w:val="20"/>
        <w:spacing w:line="360" w:lineRule="auto"/>
        <w:rPr>
          <w:rFonts w:ascii="Times New Roman" w:hAnsi="Times New Roman" w:eastAsia="宋体" w:cs="宋体"/>
          <w:sz w:val="24"/>
          <w:szCs w:val="24"/>
        </w:rPr>
      </w:pPr>
      <w:r>
        <w:rPr>
          <w:rFonts w:hint="eastAsia" w:ascii="Times New Roman" w:hAnsi="Times New Roman" w:eastAsia="宋体" w:cs="宋体"/>
          <w:sz w:val="24"/>
          <w:szCs w:val="24"/>
        </w:rPr>
        <w:br w:type="page"/>
      </w:r>
    </w:p>
    <w:p>
      <w:pPr>
        <w:keepNext/>
        <w:keepLines/>
        <w:spacing w:before="120" w:after="120" w:line="480" w:lineRule="exact"/>
        <w:jc w:val="center"/>
        <w:outlineLvl w:val="1"/>
        <w:rPr>
          <w:rFonts w:ascii="Times New Roman" w:hAnsi="Times New Roman" w:eastAsia="宋体" w:cs="Times New Roman"/>
          <w:b/>
          <w:bCs/>
          <w:kern w:val="44"/>
          <w:sz w:val="28"/>
          <w:szCs w:val="28"/>
        </w:rPr>
      </w:pPr>
      <w:bookmarkStart w:id="93" w:name="_Toc465187646"/>
      <w:r>
        <w:rPr>
          <w:rFonts w:hint="eastAsia" w:ascii="Times New Roman" w:hAnsi="Times New Roman" w:eastAsia="宋体" w:cs="Times New Roman"/>
          <w:b/>
          <w:bCs/>
          <w:kern w:val="44"/>
          <w:sz w:val="28"/>
          <w:szCs w:val="28"/>
        </w:rPr>
        <w:t>第五章  预验收和终验收</w:t>
      </w:r>
      <w:bookmarkEnd w:id="93"/>
    </w:p>
    <w:p>
      <w:pPr>
        <w:pStyle w:val="121"/>
        <w:spacing w:line="360" w:lineRule="auto"/>
      </w:pPr>
      <w:r>
        <w:rPr>
          <w:rFonts w:hint="eastAsia"/>
        </w:rPr>
        <w:t>一、验收依据和验收标准</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2.如果验收过程中，发现招标文件、投标文件、答疑文件、技术交流文件等与技术标书、合同存在差异，原则上以涉及条款中对买方最有利条款为验收依据。</w:t>
      </w:r>
    </w:p>
    <w:p>
      <w:pPr>
        <w:pStyle w:val="121"/>
        <w:spacing w:line="360" w:lineRule="auto"/>
      </w:pPr>
      <w:r>
        <w:rPr>
          <w:rFonts w:hint="eastAsia"/>
        </w:rPr>
        <w:t>二、检验</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1.国产货物的检验一般由买卖双方共同进行或按照合同要求进行。</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2.进口货物的检验，卖方需要按照下述要求进行：</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21"/>
        <w:spacing w:line="360" w:lineRule="auto"/>
      </w:pPr>
      <w:r>
        <w:rPr>
          <w:rFonts w:hint="eastAsia"/>
        </w:rPr>
        <w:t>三、验收基本条件</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验收一般分预验收和终验收两部分。买方在设备集成现场进行预验收，验收地交通（中国济南至验收地往返）、食宿由买方自理。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1.预验收基本要求</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1.1 卖方已经按照“供货范围”要求提供了预验收资料，并且资料齐全、完整和有效。</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1.4 货物标牌完整、清晰、明确。</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1.5</w:t>
      </w:r>
      <w:r>
        <w:rPr>
          <w:rFonts w:ascii="Times New Roman" w:hAnsi="Times New Roman" w:eastAsia="宋体" w:cs="宋体"/>
          <w:sz w:val="24"/>
          <w:szCs w:val="24"/>
        </w:rPr>
        <w:t xml:space="preserve"> </w:t>
      </w:r>
      <w:r>
        <w:rPr>
          <w:rFonts w:hint="eastAsia" w:ascii="Times New Roman" w:hAnsi="Times New Roman" w:eastAsia="宋体" w:cs="宋体"/>
          <w:sz w:val="24"/>
          <w:szCs w:val="24"/>
        </w:rPr>
        <w:t>货物的安全要求符合中国最新的相关法律、法规、标准和规范以及合同要求。</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w:t>
      </w:r>
      <w:r>
        <w:rPr>
          <w:rFonts w:ascii="Times New Roman" w:hAnsi="Times New Roman" w:eastAsia="宋体" w:cs="宋体"/>
          <w:sz w:val="24"/>
          <w:szCs w:val="24"/>
        </w:rPr>
        <w:t xml:space="preserve">.6 </w:t>
      </w:r>
      <w:r>
        <w:rPr>
          <w:rFonts w:hint="eastAsia" w:ascii="Times New Roman" w:hAnsi="Times New Roman" w:eastAsia="宋体" w:cs="宋体"/>
          <w:sz w:val="24"/>
          <w:szCs w:val="24"/>
        </w:rPr>
        <w:t>系统设备品牌、型号、数量与合同约定内容一致；各设备资料齐全，完整有效。</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w:t>
      </w:r>
      <w:r>
        <w:rPr>
          <w:rFonts w:ascii="Times New Roman" w:hAnsi="Times New Roman" w:eastAsia="宋体" w:cs="宋体"/>
          <w:sz w:val="24"/>
          <w:szCs w:val="24"/>
        </w:rPr>
        <w:t>.7</w:t>
      </w:r>
      <w:r>
        <w:rPr>
          <w:rFonts w:hint="eastAsia" w:ascii="Times New Roman" w:hAnsi="Times New Roman" w:eastAsia="宋体" w:cs="宋体"/>
          <w:sz w:val="24"/>
          <w:szCs w:val="24"/>
        </w:rPr>
        <w:t xml:space="preserve"> 按约定技术方案对设备进行系统设计及原理、测试软件执行及脚本开发的讲解及培训。</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2.终验收一般条件</w:t>
      </w:r>
    </w:p>
    <w:p>
      <w:pPr>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2.1</w:t>
      </w:r>
      <w:r>
        <w:rPr>
          <w:rFonts w:hint="eastAsia" w:ascii="Times New Roman" w:hAnsi="Times New Roman" w:eastAsia="宋体" w:cs="宋体"/>
          <w:sz w:val="24"/>
          <w:szCs w:val="24"/>
        </w:rPr>
        <w:t>设备已完成硬件与软件系统的整体功能测试与调试，且功能正常。</w:t>
      </w:r>
    </w:p>
    <w:p>
      <w:pPr>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2.2</w:t>
      </w:r>
      <w:r>
        <w:rPr>
          <w:rFonts w:hint="eastAsia" w:ascii="Times New Roman" w:hAnsi="Times New Roman" w:eastAsia="宋体" w:cs="宋体"/>
          <w:sz w:val="24"/>
          <w:szCs w:val="24"/>
        </w:rPr>
        <w:t>通过了</w:t>
      </w:r>
      <w:r>
        <w:rPr>
          <w:rFonts w:ascii="Times New Roman" w:hAnsi="Times New Roman" w:eastAsia="宋体" w:cs="宋体"/>
          <w:sz w:val="24"/>
          <w:szCs w:val="24"/>
        </w:rPr>
        <w:t>预验收而且没有出现新的质量问题，或者满足预验收条款。</w:t>
      </w:r>
    </w:p>
    <w:p>
      <w:pPr>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2.3货物安装调试完毕，并至少经过了验收要求的负荷试运行。</w:t>
      </w:r>
    </w:p>
    <w:p>
      <w:pPr>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2.4货物正常运行时，噪声等环境影响因素满足国家和当地环保主管部门规定，安全措施落实、有效。</w:t>
      </w:r>
    </w:p>
    <w:p>
      <w:pPr>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2.5计量仪器、仪表配套合理，采用中国的法定计量单位，计量准确、灵敏可靠。保证设计指标和仪器说明书的参数的实现。</w:t>
      </w:r>
    </w:p>
    <w:p>
      <w:pPr>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2.6试运行期间或之后无维修、调整等行为（特殊情况除外）。</w:t>
      </w:r>
    </w:p>
    <w:p>
      <w:pPr>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2.7货物质量、技术性能等，达到签定的技术协议书和合同规定的终验收标准。</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w:t>
      </w:r>
      <w:r>
        <w:rPr>
          <w:rFonts w:ascii="Times New Roman" w:hAnsi="Times New Roman" w:eastAsia="宋体" w:cs="宋体"/>
          <w:sz w:val="24"/>
          <w:szCs w:val="24"/>
        </w:rPr>
        <w:t>8</w:t>
      </w:r>
      <w:r>
        <w:rPr>
          <w:rFonts w:hint="eastAsia" w:ascii="Times New Roman" w:hAnsi="Times New Roman" w:eastAsia="宋体" w:cs="宋体"/>
          <w:sz w:val="24"/>
          <w:szCs w:val="24"/>
        </w:rPr>
        <w:t>首次计量由乙方负责，由省级或以上的计量机构计量，按照系统约束的性能指标进行计量检定，合格后方可进行终验收。</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3.</w:t>
      </w:r>
      <w:r>
        <w:rPr>
          <w:rFonts w:hint="eastAsia" w:ascii="Times New Roman" w:hAnsi="Times New Roman" w:eastAsia="宋体" w:cs="宋体"/>
          <w:sz w:val="24"/>
          <w:szCs w:val="24"/>
        </w:rPr>
        <w:t>终验收技术要求</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w:t>
      </w:r>
      <w:r>
        <w:rPr>
          <w:rFonts w:ascii="Times New Roman" w:hAnsi="Times New Roman" w:eastAsia="宋体" w:cs="宋体"/>
          <w:sz w:val="24"/>
          <w:szCs w:val="24"/>
        </w:rPr>
        <w:t>.1设备安装调试完成后，再需要经过一个考核期的</w:t>
      </w:r>
      <w:r>
        <w:rPr>
          <w:rFonts w:hint="eastAsia" w:ascii="Times New Roman" w:hAnsi="Times New Roman" w:eastAsia="宋体" w:cs="宋体"/>
          <w:sz w:val="24"/>
          <w:szCs w:val="24"/>
        </w:rPr>
        <w:t>运行测试使用</w:t>
      </w:r>
      <w:r>
        <w:rPr>
          <w:rFonts w:ascii="Times New Roman" w:hAnsi="Times New Roman" w:eastAsia="宋体" w:cs="宋体"/>
          <w:sz w:val="24"/>
          <w:szCs w:val="24"/>
        </w:rPr>
        <w:t>，考核整个系统的</w:t>
      </w:r>
      <w:r>
        <w:rPr>
          <w:rFonts w:hint="eastAsia" w:ascii="Times New Roman" w:hAnsi="Times New Roman" w:eastAsia="宋体" w:cs="宋体"/>
          <w:sz w:val="24"/>
          <w:szCs w:val="24"/>
        </w:rPr>
        <w:t>软硬件的</w:t>
      </w:r>
      <w:r>
        <w:rPr>
          <w:rFonts w:ascii="Times New Roman" w:hAnsi="Times New Roman" w:eastAsia="宋体" w:cs="宋体"/>
          <w:sz w:val="24"/>
          <w:szCs w:val="24"/>
        </w:rPr>
        <w:t>可靠性</w:t>
      </w:r>
      <w:r>
        <w:rPr>
          <w:rFonts w:hint="eastAsia" w:ascii="Times New Roman" w:hAnsi="Times New Roman" w:eastAsia="宋体" w:cs="宋体"/>
          <w:sz w:val="24"/>
          <w:szCs w:val="24"/>
        </w:rPr>
        <w:t>、测试脚本的可靠性。</w:t>
      </w:r>
      <w:r>
        <w:rPr>
          <w:rFonts w:ascii="Times New Roman" w:hAnsi="Times New Roman" w:eastAsia="宋体" w:cs="宋体"/>
          <w:sz w:val="24"/>
          <w:szCs w:val="24"/>
        </w:rPr>
        <w:t>考核期不少于30个工作日，考核期间不得出现影响设备使用性能的重要故障或重要部件损坏，</w:t>
      </w:r>
      <w:r>
        <w:rPr>
          <w:rFonts w:hint="eastAsia" w:ascii="Times New Roman" w:hAnsi="Times New Roman" w:eastAsia="宋体" w:cs="宋体"/>
          <w:sz w:val="24"/>
          <w:szCs w:val="24"/>
        </w:rPr>
        <w:t>测试脚本执行不得出现bug，</w:t>
      </w:r>
      <w:r>
        <w:rPr>
          <w:rFonts w:ascii="Times New Roman" w:hAnsi="Times New Roman" w:eastAsia="宋体" w:cs="宋体"/>
          <w:sz w:val="24"/>
          <w:szCs w:val="24"/>
        </w:rPr>
        <w:t>考核期满足要求后进行最终验收</w:t>
      </w:r>
      <w:r>
        <w:rPr>
          <w:rFonts w:hint="eastAsia" w:ascii="Times New Roman" w:hAnsi="Times New Roman" w:eastAsia="宋体" w:cs="宋体"/>
          <w:sz w:val="24"/>
          <w:szCs w:val="24"/>
        </w:rPr>
        <w:t>。</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3.2由买方和卖方共同组织设备的终验收，所提供测试系统设备必须满足本技术协议</w:t>
      </w:r>
      <w:r>
        <w:rPr>
          <w:rFonts w:hint="eastAsia" w:ascii="Times New Roman" w:hAnsi="Times New Roman" w:eastAsia="宋体" w:cs="宋体"/>
          <w:sz w:val="24"/>
          <w:szCs w:val="24"/>
        </w:rPr>
        <w:t>及合同约定的</w:t>
      </w:r>
      <w:r>
        <w:rPr>
          <w:rFonts w:ascii="Times New Roman" w:hAnsi="Times New Roman" w:eastAsia="宋体" w:cs="宋体"/>
          <w:sz w:val="24"/>
          <w:szCs w:val="24"/>
        </w:rPr>
        <w:t>全部技术要求，验收内容应包含但不仅限于以下内容：</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1</w:t>
      </w:r>
      <w:r>
        <w:rPr>
          <w:rFonts w:hint="eastAsia" w:ascii="Times New Roman" w:hAnsi="Times New Roman" w:eastAsia="宋体" w:cs="宋体"/>
          <w:sz w:val="24"/>
          <w:szCs w:val="24"/>
        </w:rPr>
        <w:t>）</w:t>
      </w:r>
      <w:r>
        <w:rPr>
          <w:rFonts w:hint="eastAsia" w:ascii="Times New Roman" w:hAnsi="Times New Roman" w:eastAsia="宋体" w:cs="Times New Roman"/>
          <w:sz w:val="24"/>
          <w:szCs w:val="24"/>
        </w:rPr>
        <w:t>CAN/LIN/CANFD网络测试脚本测试执行</w:t>
      </w:r>
      <w:r>
        <w:rPr>
          <w:rFonts w:ascii="Times New Roman" w:hAnsi="Times New Roman" w:eastAsia="宋体" w:cs="宋体"/>
          <w:sz w:val="24"/>
          <w:szCs w:val="24"/>
        </w:rPr>
        <w:t>；</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2</w:t>
      </w:r>
      <w:r>
        <w:rPr>
          <w:rFonts w:hint="eastAsia" w:ascii="Times New Roman" w:hAnsi="Times New Roman" w:eastAsia="宋体" w:cs="宋体"/>
          <w:sz w:val="24"/>
          <w:szCs w:val="24"/>
        </w:rPr>
        <w:t>）以太网测试脚本测试执行；</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3</w:t>
      </w:r>
      <w:r>
        <w:rPr>
          <w:rFonts w:hint="eastAsia" w:ascii="Times New Roman" w:hAnsi="Times New Roman" w:eastAsia="宋体" w:cs="宋体"/>
          <w:sz w:val="24"/>
          <w:szCs w:val="24"/>
        </w:rPr>
        <w:t>）</w:t>
      </w:r>
      <w:r>
        <w:rPr>
          <w:rFonts w:hint="eastAsia" w:ascii="Times New Roman" w:hAnsi="Times New Roman" w:eastAsia="宋体" w:cs="Times New Roman"/>
          <w:sz w:val="24"/>
          <w:szCs w:val="24"/>
        </w:rPr>
        <w:t>CAN/LIN/CANFD网络测试系统脚本开发环境测试；</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4</w:t>
      </w:r>
      <w:r>
        <w:rPr>
          <w:rFonts w:hint="eastAsia" w:ascii="Times New Roman" w:hAnsi="Times New Roman" w:eastAsia="宋体" w:cs="宋体"/>
          <w:sz w:val="24"/>
          <w:szCs w:val="24"/>
        </w:rPr>
        <w:t>）以太网测试脚本开发环境测试；</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5）测试用例测试规范的完整度和覆盖度。</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3.3由买方和卖方共同编制终验收报告并签字确认；</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3.4终验收期间，卖方自行负责交通、食宿、保险等费用；</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3.5最终验收以双方签订的合同和条件为准，逐项进行最终验收；</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3.6对于终验收买方提出的问题，卖方应在15个工作日内完成整改。</w:t>
      </w:r>
    </w:p>
    <w:p>
      <w:pPr>
        <w:adjustRightInd w:val="0"/>
        <w:snapToGrid w:val="0"/>
        <w:spacing w:line="360" w:lineRule="auto"/>
        <w:ind w:firstLine="480" w:firstLineChars="200"/>
        <w:rPr>
          <w:rFonts w:ascii="Times New Roman" w:hAnsi="Times New Roman" w:eastAsia="宋体" w:cs="宋体"/>
          <w:sz w:val="24"/>
          <w:szCs w:val="24"/>
        </w:rPr>
      </w:pPr>
      <w:r>
        <w:rPr>
          <w:rFonts w:ascii="Times New Roman" w:hAnsi="Times New Roman" w:eastAsia="宋体" w:cs="宋体"/>
          <w:sz w:val="24"/>
          <w:szCs w:val="24"/>
        </w:rPr>
        <w:t>3.7终验收通过后买卖双方共同签署终验收报告，并移交、核对全部供货范围内物品。</w:t>
      </w:r>
    </w:p>
    <w:p>
      <w:pPr>
        <w:adjustRightInd w:val="0"/>
        <w:snapToGrid w:val="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pStyle w:val="20"/>
        <w:spacing w:line="360" w:lineRule="auto"/>
        <w:rPr>
          <w:rFonts w:ascii="Times New Roman" w:hAnsi="Times New Roman" w:eastAsia="宋体" w:cs="宋体"/>
          <w:sz w:val="24"/>
          <w:szCs w:val="24"/>
        </w:rPr>
      </w:pPr>
    </w:p>
    <w:p>
      <w:pPr>
        <w:keepNext/>
        <w:keepLines/>
        <w:spacing w:before="120" w:after="120" w:line="480" w:lineRule="exact"/>
        <w:jc w:val="center"/>
        <w:outlineLvl w:val="1"/>
        <w:rPr>
          <w:rFonts w:ascii="Times New Roman" w:hAnsi="Times New Roman" w:eastAsia="宋体" w:cs="Times New Roman"/>
          <w:b/>
          <w:bCs/>
          <w:kern w:val="44"/>
          <w:sz w:val="28"/>
          <w:szCs w:val="28"/>
        </w:rPr>
      </w:pPr>
      <w:bookmarkStart w:id="94" w:name="_Toc131008493"/>
      <w:bookmarkStart w:id="95" w:name="_Toc30824"/>
      <w:bookmarkStart w:id="96" w:name="_Toc465187647"/>
      <w:r>
        <w:rPr>
          <w:rFonts w:hint="eastAsia" w:ascii="Times New Roman" w:hAnsi="Times New Roman" w:eastAsia="宋体" w:cs="Times New Roman"/>
          <w:b/>
          <w:bCs/>
          <w:kern w:val="44"/>
          <w:sz w:val="28"/>
          <w:szCs w:val="28"/>
        </w:rPr>
        <w:t>第六章  投标技术文件一般要求</w:t>
      </w:r>
      <w:bookmarkEnd w:id="94"/>
      <w:bookmarkEnd w:id="95"/>
      <w:bookmarkEnd w:id="96"/>
    </w:p>
    <w:p>
      <w:pPr>
        <w:pStyle w:val="121"/>
        <w:spacing w:line="360" w:lineRule="auto"/>
      </w:pPr>
      <w:r>
        <w:rPr>
          <w:rFonts w:hint="eastAsia"/>
        </w:rPr>
        <w:t>一、技术文件一般内容要求</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类填入下表：</w:t>
      </w:r>
    </w:p>
    <w:p>
      <w:pPr>
        <w:adjustRightInd w:val="0"/>
        <w:snapToGrid w:val="0"/>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☆6.1备品备件、易损件和专用耗材明细表：</w:t>
      </w:r>
    </w:p>
    <w:p>
      <w:pPr>
        <w:adjustRightInd w:val="0"/>
        <w:snapToGrid w:val="0"/>
        <w:spacing w:line="360" w:lineRule="auto"/>
        <w:ind w:firstLine="482" w:firstLineChars="200"/>
        <w:rPr>
          <w:rFonts w:ascii="宋体" w:hAnsi="宋体" w:eastAsia="宋体" w:cs="宋体"/>
          <w:b/>
          <w:bCs/>
          <w:sz w:val="24"/>
          <w:szCs w:val="24"/>
          <w:highlight w:val="yellow"/>
        </w:rPr>
      </w:pPr>
      <w:r>
        <w:rPr>
          <w:rFonts w:hint="eastAsia" w:ascii="宋体" w:hAnsi="宋体" w:eastAsia="宋体" w:cs="宋体"/>
          <w:b/>
          <w:bCs/>
          <w:sz w:val="24"/>
          <w:szCs w:val="24"/>
          <w:highlight w:val="yellow"/>
        </w:rPr>
        <w:t>必须提供本项目生命周期内所涉及到所有备品备件、易损件和专用耗材明细表，以便于质保期外，招标人能够根据清单快速找到同规格产品。</w:t>
      </w:r>
    </w:p>
    <w:p>
      <w:pPr>
        <w:adjustRightInd w:val="0"/>
        <w:snapToGrid w:val="0"/>
        <w:spacing w:line="420" w:lineRule="exact"/>
        <w:ind w:firstLine="1890" w:firstLineChars="900"/>
        <w:rPr>
          <w:rFonts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705" w:type="dxa"/>
          </w:tcPr>
          <w:p>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010" w:type="dxa"/>
          </w:tcPr>
          <w:p>
            <w:pPr>
              <w:adjustRightInd w:val="0"/>
              <w:snapToGrid w:val="0"/>
              <w:spacing w:line="360" w:lineRule="exact"/>
              <w:jc w:val="center"/>
              <w:rPr>
                <w:rFonts w:ascii="宋体" w:hAnsi="宋体" w:eastAsia="宋体" w:cs="宋体"/>
              </w:rPr>
            </w:pPr>
            <w:r>
              <w:rPr>
                <w:rFonts w:hint="eastAsia" w:ascii="宋体" w:hAnsi="宋体" w:eastAsia="宋体" w:cs="宋体"/>
              </w:rPr>
              <w:t>品牌</w:t>
            </w:r>
          </w:p>
        </w:tc>
        <w:tc>
          <w:tcPr>
            <w:tcW w:w="1558" w:type="dxa"/>
          </w:tcPr>
          <w:p>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93"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93"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2461" w:type="dxa"/>
          </w:tcPr>
          <w:p>
            <w:pPr>
              <w:adjustRightInd w:val="0"/>
              <w:snapToGrid w:val="0"/>
              <w:spacing w:line="360" w:lineRule="exact"/>
              <w:jc w:val="center"/>
              <w:rPr>
                <w:rFonts w:ascii="宋体" w:hAnsi="宋体" w:eastAsia="宋体" w:cs="宋体"/>
              </w:rPr>
            </w:pPr>
            <w:r>
              <w:rPr>
                <w:rFonts w:hint="eastAsia" w:ascii="宋体" w:hAnsi="宋体" w:eastAsia="宋体" w:cs="宋体"/>
              </w:rPr>
              <w:t>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pPr>
              <w:adjustRightInd w:val="0"/>
              <w:snapToGrid w:val="0"/>
              <w:spacing w:line="360" w:lineRule="exact"/>
              <w:jc w:val="center"/>
              <w:rPr>
                <w:rFonts w:ascii="宋体" w:hAnsi="宋体" w:eastAsia="宋体" w:cs="宋体"/>
              </w:rPr>
            </w:pPr>
          </w:p>
        </w:tc>
        <w:tc>
          <w:tcPr>
            <w:tcW w:w="1705" w:type="dxa"/>
          </w:tcPr>
          <w:p>
            <w:pPr>
              <w:adjustRightInd w:val="0"/>
              <w:snapToGrid w:val="0"/>
              <w:spacing w:line="360" w:lineRule="exact"/>
              <w:rPr>
                <w:rFonts w:ascii="宋体" w:hAnsi="宋体" w:eastAsia="宋体" w:cs="宋体"/>
              </w:rPr>
            </w:pPr>
          </w:p>
        </w:tc>
        <w:tc>
          <w:tcPr>
            <w:tcW w:w="1010" w:type="dxa"/>
          </w:tcPr>
          <w:p>
            <w:pPr>
              <w:adjustRightInd w:val="0"/>
              <w:snapToGrid w:val="0"/>
              <w:spacing w:line="360" w:lineRule="exact"/>
              <w:rPr>
                <w:rFonts w:ascii="宋体" w:hAnsi="宋体" w:eastAsia="宋体" w:cs="宋体"/>
              </w:rPr>
            </w:pPr>
          </w:p>
        </w:tc>
        <w:tc>
          <w:tcPr>
            <w:tcW w:w="1558"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793" w:type="dxa"/>
          </w:tcPr>
          <w:p>
            <w:pPr>
              <w:adjustRightInd w:val="0"/>
              <w:snapToGrid w:val="0"/>
              <w:spacing w:line="360" w:lineRule="exact"/>
              <w:jc w:val="center"/>
              <w:rPr>
                <w:rFonts w:ascii="宋体" w:hAnsi="宋体" w:eastAsia="宋体" w:cs="宋体"/>
              </w:rPr>
            </w:pPr>
          </w:p>
        </w:tc>
        <w:tc>
          <w:tcPr>
            <w:tcW w:w="2461" w:type="dxa"/>
          </w:tcPr>
          <w:p>
            <w:pPr>
              <w:adjustRightInd w:val="0"/>
              <w:snapToGrid w:val="0"/>
              <w:spacing w:line="360" w:lineRule="exact"/>
              <w:rPr>
                <w:rFonts w:ascii="宋体" w:hAnsi="宋体" w:eastAsia="宋体" w:cs="宋体"/>
              </w:rPr>
            </w:pPr>
          </w:p>
        </w:tc>
      </w:tr>
    </w:tbl>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6.3应当尽可能将货物的配置列全、列细，这将有助于投标人胜出；</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6.5本条款表格中的制造商，应当为全称或公认的简称。</w:t>
      </w:r>
    </w:p>
    <w:p>
      <w:pPr>
        <w:pStyle w:val="121"/>
        <w:spacing w:line="360" w:lineRule="auto"/>
      </w:pPr>
      <w:r>
        <w:rPr>
          <w:rFonts w:hint="eastAsia"/>
        </w:rPr>
        <w:t>二、技术文件中货物报价格式要求</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2.如果投标总报价与其它价格出现错误或不一致，将有可能导致废标。</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4.备品备件、易损件和专用耗材，招标人将可能与投标人按照投标价格另行签署供货合同。</w:t>
      </w:r>
    </w:p>
    <w:p>
      <w:pPr>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5.要求投标总报价、分项报价、明细报价之间应当具有相互间对应关系以及填报分项和明细报价，仅为便于评标而不妨碍投标人以最合适的形式签署合同。</w:t>
      </w:r>
    </w:p>
    <w:p>
      <w:pPr>
        <w:pStyle w:val="121"/>
        <w:spacing w:line="360" w:lineRule="auto"/>
      </w:pPr>
      <w:r>
        <w:rPr>
          <w:rFonts w:hint="eastAsia"/>
        </w:rPr>
        <w:t>三、验收标准及内容要求</w:t>
      </w:r>
    </w:p>
    <w:p>
      <w:pPr>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360" w:lineRule="auto"/>
        <w:rPr>
          <w:rFonts w:ascii="Times New Roman" w:hAnsi="Times New Roman" w:cs="宋体"/>
          <w:b w:val="0"/>
          <w:sz w:val="24"/>
          <w:szCs w:val="24"/>
        </w:rPr>
        <w:sectPr>
          <w:footerReference r:id="rId12" w:type="first"/>
          <w:footerReference r:id="rId11" w:type="default"/>
          <w:pgSz w:w="11906" w:h="16838"/>
          <w:pgMar w:top="1588" w:right="1418" w:bottom="1134" w:left="1418" w:header="851" w:footer="992" w:gutter="0"/>
          <w:cols w:space="720" w:num="1"/>
          <w:titlePg/>
          <w:docGrid w:linePitch="312" w:charSpace="0"/>
        </w:sectPr>
      </w:pPr>
      <w:bookmarkStart w:id="97" w:name="_Toc465187648"/>
    </w:p>
    <w:bookmarkEnd w:id="97"/>
    <w:p>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5.5  该类报告或证明材料对于投标方胜出乃至中标极为重要！</w:t>
      </w:r>
    </w:p>
    <w:p>
      <w:pPr>
        <w:spacing w:line="420" w:lineRule="exact"/>
        <w:ind w:firstLine="479" w:firstLineChars="199"/>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6、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pPr>
        <w:spacing w:line="420" w:lineRule="exact"/>
        <w:ind w:firstLine="479" w:firstLineChars="199"/>
        <w:rPr>
          <w:rFonts w:ascii="Times New Roman" w:hAnsi="Times New Roman" w:eastAsia="宋体" w:cs="Times New Roman"/>
          <w:b/>
          <w:color w:val="000000"/>
          <w:sz w:val="24"/>
          <w:szCs w:val="20"/>
        </w:rPr>
      </w:pPr>
      <w:r>
        <w:rPr>
          <w:rFonts w:hint="eastAsia" w:ascii="Times New Roman" w:hAnsi="Times New Roman" w:eastAsia="宋体" w:cs="Times New Roman"/>
          <w:b/>
          <w:color w:val="000000"/>
          <w:sz w:val="24"/>
          <w:szCs w:val="20"/>
          <w:highlight w:val="yellow"/>
        </w:rPr>
        <w:t>7、设备外观</w:t>
      </w:r>
      <w:r>
        <w:rPr>
          <w:rFonts w:hint="eastAsia" w:ascii="宋体" w:hAnsi="宋体" w:eastAsia="宋体" w:cs="宋体"/>
          <w:b/>
          <w:bCs/>
          <w:sz w:val="24"/>
          <w:szCs w:val="20"/>
          <w:highlight w:val="yellow"/>
        </w:rPr>
        <w:t>不能存在供应商名称和品牌LOGO等标识。</w:t>
      </w:r>
    </w:p>
    <w:p>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4、招标文件、投标文件、答疑文件、技术交流文件、技术协议书等，在采购过程全部为有效文件，如有差异，以对招标方最有利的条款为准。</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5、为避免</w:t>
      </w:r>
      <w:r>
        <w:rPr>
          <w:rFonts w:hint="eastAsia" w:ascii="Times New Roman" w:hAnsi="Times New Roman" w:eastAsia="宋体" w:cs="Times New Roman"/>
          <w:color w:val="000000"/>
          <w:sz w:val="24"/>
          <w:szCs w:val="20"/>
        </w:rPr>
        <w:t>歧义</w:t>
      </w:r>
      <w:r>
        <w:rPr>
          <w:rFonts w:ascii="Times New Roman" w:hAnsi="Times New Roman" w:eastAsia="宋体" w:cs="Times New Roman"/>
          <w:color w:val="000000"/>
          <w:sz w:val="24"/>
          <w:szCs w:val="20"/>
        </w:rPr>
        <w:t>，本技术标书涉及招投标环节的条款，均将潜在的卖方称为投标方、将买方称为招标方；定标后合同签署环节以及后续的合同执行环节条款，招标方称为买方、投标方中的中标方称为卖方。</w:t>
      </w:r>
    </w:p>
    <w:p>
      <w:pPr>
        <w:pStyle w:val="20"/>
        <w:spacing w:line="360" w:lineRule="auto"/>
        <w:rPr>
          <w:rFonts w:hAnsi="宋体" w:eastAsia="宋体" w:cs="宋体"/>
        </w:rPr>
        <w:sectPr>
          <w:footerReference r:id="rId14" w:type="first"/>
          <w:footerReference r:id="rId13" w:type="default"/>
          <w:pgSz w:w="11907" w:h="16840"/>
          <w:pgMar w:top="1304" w:right="1418" w:bottom="1304" w:left="1418" w:header="724" w:footer="851" w:gutter="0"/>
          <w:cols w:space="720" w:num="1"/>
          <w:docGrid w:linePitch="290" w:charSpace="-3931"/>
        </w:sectPr>
      </w:pPr>
    </w:p>
    <w:p>
      <w:pPr>
        <w:pStyle w:val="20"/>
      </w:pPr>
    </w:p>
    <w:p>
      <w:pPr>
        <w:spacing w:line="360" w:lineRule="auto"/>
        <w:jc w:val="center"/>
        <w:outlineLvl w:val="0"/>
        <w:rPr>
          <w:rFonts w:ascii="宋体" w:hAnsi="Calibri" w:eastAsia="宋体" w:cs="Times New Roman"/>
          <w:b/>
          <w:sz w:val="36"/>
          <w:szCs w:val="36"/>
        </w:rPr>
      </w:pPr>
      <w:bookmarkStart w:id="98"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8"/>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设备采购合同（模板）</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sectPr>
          <w:footerReference r:id="rId15"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9" w:name="_Toc16330018"/>
      <w:bookmarkStart w:id="100" w:name="_Toc11930"/>
      <w:bookmarkStart w:id="101" w:name="_Toc17619"/>
      <w:bookmarkStart w:id="102" w:name="_Toc9465"/>
      <w:bookmarkStart w:id="103" w:name="_Toc11823"/>
      <w:r>
        <w:rPr>
          <w:rFonts w:hint="eastAsia" w:ascii="黑体" w:hAnsi="黑体" w:eastAsia="黑体" w:cstheme="minorEastAsia"/>
          <w:b w:val="0"/>
          <w:sz w:val="28"/>
          <w:szCs w:val="28"/>
        </w:rPr>
        <w:t>1 合同设备</w:t>
      </w:r>
      <w:bookmarkEnd w:id="99"/>
      <w:bookmarkEnd w:id="100"/>
      <w:bookmarkEnd w:id="101"/>
      <w:bookmarkEnd w:id="102"/>
      <w:bookmarkEnd w:id="10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104" w:name="_Toc29026"/>
      <w:bookmarkStart w:id="105" w:name="_Toc32510"/>
      <w:bookmarkStart w:id="106"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7" w:name="_Toc7716"/>
      <w:bookmarkStart w:id="108" w:name="_Toc16330019"/>
      <w:r>
        <w:rPr>
          <w:rFonts w:hint="eastAsia" w:ascii="黑体" w:hAnsi="黑体" w:eastAsia="黑体" w:cstheme="minorEastAsia"/>
          <w:b w:val="0"/>
          <w:sz w:val="28"/>
          <w:szCs w:val="28"/>
        </w:rPr>
        <w:t>2 包装</w:t>
      </w:r>
      <w:bookmarkEnd w:id="104"/>
      <w:bookmarkEnd w:id="105"/>
      <w:bookmarkEnd w:id="106"/>
      <w:bookmarkEnd w:id="107"/>
      <w:bookmarkEnd w:id="10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9" w:name="_Toc30507"/>
      <w:bookmarkStart w:id="110" w:name="_Toc2833"/>
      <w:bookmarkStart w:id="111" w:name="_Toc27453"/>
      <w:bookmarkStart w:id="112" w:name="_Toc16330020"/>
      <w:bookmarkStart w:id="113" w:name="_Toc27144"/>
      <w:r>
        <w:rPr>
          <w:rFonts w:hint="eastAsia" w:ascii="黑体" w:hAnsi="黑体" w:eastAsia="黑体" w:cstheme="minorEastAsia"/>
          <w:b w:val="0"/>
          <w:sz w:val="28"/>
          <w:szCs w:val="28"/>
        </w:rPr>
        <w:t>3 运输标记</w:t>
      </w:r>
      <w:bookmarkEnd w:id="109"/>
      <w:bookmarkEnd w:id="110"/>
      <w:bookmarkEnd w:id="111"/>
      <w:bookmarkEnd w:id="112"/>
      <w:bookmarkEnd w:id="11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14" w:name="_Toc16330021"/>
      <w:bookmarkStart w:id="115" w:name="_Toc7431"/>
      <w:bookmarkStart w:id="116" w:name="_Toc8624"/>
      <w:bookmarkStart w:id="117" w:name="_Toc16133"/>
      <w:bookmarkStart w:id="118" w:name="_Toc10630"/>
      <w:r>
        <w:rPr>
          <w:rFonts w:hint="eastAsia" w:ascii="黑体" w:hAnsi="黑体" w:eastAsia="黑体" w:cstheme="minorEastAsia"/>
          <w:b w:val="0"/>
          <w:sz w:val="28"/>
          <w:szCs w:val="28"/>
        </w:rPr>
        <w:t>4 检验</w:t>
      </w:r>
      <w:bookmarkEnd w:id="114"/>
      <w:bookmarkEnd w:id="115"/>
      <w:bookmarkEnd w:id="116"/>
      <w:bookmarkEnd w:id="117"/>
      <w:bookmarkEnd w:id="11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19" w:name="_Toc19850"/>
      <w:bookmarkStart w:id="120" w:name="_Toc11217"/>
      <w:bookmarkStart w:id="121" w:name="_Toc16330022"/>
      <w:bookmarkStart w:id="122" w:name="_Toc14275"/>
      <w:bookmarkStart w:id="123" w:name="_Toc24467"/>
      <w:r>
        <w:rPr>
          <w:rFonts w:hint="eastAsia" w:ascii="黑体" w:hAnsi="黑体" w:eastAsia="黑体" w:cstheme="minorEastAsia"/>
          <w:b w:val="0"/>
          <w:sz w:val="28"/>
          <w:szCs w:val="28"/>
        </w:rPr>
        <w:t>5 权利担保</w:t>
      </w:r>
      <w:bookmarkEnd w:id="119"/>
      <w:bookmarkEnd w:id="120"/>
      <w:bookmarkEnd w:id="121"/>
      <w:bookmarkEnd w:id="122"/>
      <w:bookmarkEnd w:id="12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24" w:name="_Toc16330023"/>
      <w:bookmarkStart w:id="125" w:name="_Toc14809"/>
      <w:bookmarkStart w:id="126" w:name="_Toc20827"/>
      <w:bookmarkStart w:id="127" w:name="_Toc11759"/>
      <w:bookmarkStart w:id="128" w:name="_Toc27500"/>
      <w:r>
        <w:rPr>
          <w:rFonts w:hint="eastAsia" w:ascii="黑体" w:hAnsi="黑体" w:eastAsia="黑体" w:cstheme="minorEastAsia"/>
          <w:b w:val="0"/>
          <w:sz w:val="28"/>
          <w:szCs w:val="28"/>
        </w:rPr>
        <w:t>6 交货</w:t>
      </w:r>
      <w:bookmarkEnd w:id="124"/>
      <w:bookmarkEnd w:id="125"/>
      <w:bookmarkEnd w:id="126"/>
      <w:bookmarkEnd w:id="127"/>
      <w:bookmarkEnd w:id="12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29" w:name="_Toc23308"/>
      <w:bookmarkStart w:id="130" w:name="_Toc25510"/>
      <w:bookmarkStart w:id="131" w:name="_Toc16330024"/>
      <w:bookmarkStart w:id="132" w:name="_Toc2984"/>
      <w:bookmarkStart w:id="133" w:name="_Toc8024"/>
      <w:r>
        <w:rPr>
          <w:rFonts w:hint="eastAsia" w:ascii="黑体" w:hAnsi="黑体" w:eastAsia="黑体" w:cstheme="minorEastAsia"/>
          <w:b w:val="0"/>
          <w:sz w:val="28"/>
          <w:szCs w:val="28"/>
        </w:rPr>
        <w:t>7 安装、调试</w:t>
      </w:r>
      <w:bookmarkEnd w:id="129"/>
      <w:bookmarkEnd w:id="130"/>
      <w:bookmarkEnd w:id="131"/>
      <w:bookmarkEnd w:id="132"/>
      <w:bookmarkEnd w:id="133"/>
    </w:p>
    <w:p>
      <w:pPr>
        <w:pStyle w:val="14"/>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34" w:name="_Toc6350"/>
      <w:bookmarkStart w:id="135" w:name="_Toc16330025"/>
      <w:bookmarkStart w:id="136" w:name="_Toc14098"/>
      <w:bookmarkStart w:id="137" w:name="_Toc14260"/>
      <w:bookmarkStart w:id="138" w:name="_Toc15547"/>
      <w:r>
        <w:rPr>
          <w:rFonts w:hint="eastAsia" w:ascii="黑体" w:hAnsi="黑体" w:eastAsia="黑体" w:cstheme="minorEastAsia"/>
          <w:b w:val="0"/>
          <w:sz w:val="28"/>
          <w:szCs w:val="28"/>
        </w:rPr>
        <w:t>8 价款与支付</w:t>
      </w:r>
      <w:bookmarkEnd w:id="134"/>
      <w:bookmarkEnd w:id="135"/>
      <w:bookmarkEnd w:id="136"/>
      <w:bookmarkEnd w:id="137"/>
      <w:bookmarkEnd w:id="13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），若国家出台新政策对增值税率进行了调整，本合同含税总价保持不变。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139" w:name="_Toc14531628"/>
      <w:bookmarkStart w:id="140" w:name="_Toc14676804"/>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139"/>
      <w:bookmarkEnd w:id="140"/>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41" w:name="_Toc6726"/>
      <w:bookmarkStart w:id="142" w:name="_Toc16330026"/>
      <w:bookmarkStart w:id="143" w:name="_Toc25708"/>
      <w:bookmarkStart w:id="144" w:name="_Toc21726"/>
      <w:bookmarkStart w:id="145" w:name="_Toc24085"/>
      <w:r>
        <w:rPr>
          <w:rFonts w:hint="eastAsia" w:ascii="黑体" w:hAnsi="黑体" w:eastAsia="黑体" w:cstheme="minorEastAsia"/>
          <w:b w:val="0"/>
          <w:sz w:val="28"/>
          <w:szCs w:val="28"/>
        </w:rPr>
        <w:t>9 质量保证及售后服务</w:t>
      </w:r>
      <w:bookmarkEnd w:id="141"/>
      <w:bookmarkEnd w:id="142"/>
      <w:bookmarkEnd w:id="143"/>
      <w:bookmarkEnd w:id="144"/>
      <w:bookmarkEnd w:id="14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46" w:name="_Toc26769"/>
      <w:bookmarkStart w:id="147" w:name="_Toc10359"/>
      <w:bookmarkStart w:id="148" w:name="_Toc16330027"/>
      <w:bookmarkStart w:id="149" w:name="_Toc12927"/>
      <w:bookmarkStart w:id="150" w:name="_Toc15570"/>
      <w:r>
        <w:rPr>
          <w:rFonts w:hint="eastAsia" w:ascii="黑体" w:hAnsi="黑体" w:eastAsia="黑体" w:cstheme="minorEastAsia"/>
          <w:b w:val="0"/>
          <w:sz w:val="28"/>
          <w:szCs w:val="28"/>
        </w:rPr>
        <w:t>10法定责任</w:t>
      </w:r>
      <w:bookmarkEnd w:id="146"/>
      <w:bookmarkEnd w:id="147"/>
      <w:bookmarkEnd w:id="148"/>
      <w:bookmarkEnd w:id="149"/>
      <w:bookmarkEnd w:id="15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51" w:name="_Toc27314"/>
      <w:bookmarkStart w:id="152" w:name="_Toc16330028"/>
      <w:bookmarkStart w:id="153" w:name="_Toc9708"/>
      <w:bookmarkStart w:id="154" w:name="_Toc30381"/>
      <w:bookmarkStart w:id="155" w:name="_Toc7698"/>
      <w:r>
        <w:rPr>
          <w:rFonts w:hint="eastAsia" w:ascii="黑体" w:hAnsi="黑体" w:eastAsia="黑体" w:cstheme="minorEastAsia"/>
          <w:b w:val="0"/>
          <w:sz w:val="28"/>
          <w:szCs w:val="28"/>
        </w:rPr>
        <w:t>11 违约责任</w:t>
      </w:r>
      <w:bookmarkEnd w:id="151"/>
      <w:bookmarkEnd w:id="152"/>
      <w:bookmarkEnd w:id="153"/>
      <w:bookmarkEnd w:id="154"/>
      <w:bookmarkEnd w:id="15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56" w:name="_Toc1827"/>
      <w:bookmarkStart w:id="157" w:name="_Toc16330029"/>
      <w:bookmarkStart w:id="158" w:name="_Toc31554"/>
      <w:bookmarkStart w:id="159" w:name="_Toc9172"/>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56"/>
    <w:bookmarkEnd w:id="157"/>
    <w:bookmarkEnd w:id="158"/>
    <w:bookmarkEnd w:id="159"/>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60" w:name="_Toc23793"/>
      <w:r>
        <w:rPr>
          <w:rFonts w:hint="eastAsia" w:ascii="黑体" w:hAnsi="黑体" w:eastAsia="黑体" w:cstheme="minorEastAsia"/>
          <w:b w:val="0"/>
          <w:sz w:val="28"/>
          <w:szCs w:val="28"/>
        </w:rPr>
        <w:t>12 合同的终止与解除</w:t>
      </w:r>
      <w:bookmarkEnd w:id="16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61" w:name="_Toc31945"/>
      <w:bookmarkStart w:id="162" w:name="_Toc13671"/>
      <w:bookmarkStart w:id="163" w:name="_Toc16330030"/>
      <w:bookmarkStart w:id="164" w:name="_Toc8620"/>
      <w:bookmarkStart w:id="165" w:name="_Toc11937"/>
      <w:r>
        <w:rPr>
          <w:rFonts w:hint="eastAsia" w:ascii="黑体" w:hAnsi="黑体" w:eastAsia="黑体" w:cstheme="minorEastAsia"/>
          <w:b w:val="0"/>
          <w:sz w:val="28"/>
          <w:szCs w:val="28"/>
        </w:rPr>
        <w:t>13 不可抗力</w:t>
      </w:r>
      <w:bookmarkEnd w:id="161"/>
      <w:bookmarkEnd w:id="162"/>
      <w:bookmarkEnd w:id="163"/>
      <w:bookmarkEnd w:id="164"/>
      <w:bookmarkEnd w:id="16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66" w:name="_Toc31243"/>
      <w:bookmarkStart w:id="167" w:name="_Toc637"/>
      <w:bookmarkStart w:id="168" w:name="_Toc16330031"/>
      <w:bookmarkStart w:id="169" w:name="_Toc30389"/>
      <w:bookmarkStart w:id="170" w:name="_Toc18772"/>
      <w:r>
        <w:rPr>
          <w:rFonts w:hint="eastAsia" w:ascii="黑体" w:hAnsi="黑体" w:eastAsia="黑体" w:cstheme="minorEastAsia"/>
          <w:b w:val="0"/>
          <w:sz w:val="28"/>
          <w:szCs w:val="28"/>
        </w:rPr>
        <w:t>14 通讯</w:t>
      </w:r>
      <w:bookmarkEnd w:id="166"/>
      <w:bookmarkEnd w:id="167"/>
      <w:bookmarkEnd w:id="168"/>
      <w:bookmarkEnd w:id="169"/>
      <w:bookmarkEnd w:id="17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2"/>
        <w:tabs>
          <w:tab w:val="right" w:leader="dot" w:pos="9061"/>
        </w:tabs>
        <w:spacing w:before="312" w:beforeLines="100"/>
        <w:rPr>
          <w:rFonts w:ascii="黑体" w:hAnsi="黑体" w:eastAsia="黑体" w:cstheme="minorEastAsia"/>
          <w:b w:val="0"/>
          <w:sz w:val="28"/>
          <w:szCs w:val="28"/>
        </w:rPr>
      </w:pPr>
      <w:bookmarkStart w:id="171" w:name="_Toc16330032"/>
      <w:bookmarkStart w:id="172" w:name="_Toc11290"/>
      <w:bookmarkStart w:id="173" w:name="_Toc12984"/>
      <w:bookmarkStart w:id="174" w:name="_Toc23011"/>
      <w:bookmarkStart w:id="175" w:name="_Toc9915"/>
      <w:r>
        <w:rPr>
          <w:rFonts w:hint="eastAsia" w:ascii="黑体" w:hAnsi="黑体" w:eastAsia="黑体" w:cstheme="minorEastAsia"/>
          <w:b w:val="0"/>
          <w:sz w:val="28"/>
          <w:szCs w:val="28"/>
        </w:rPr>
        <w:t>15 适用法律及争议解决</w:t>
      </w:r>
      <w:bookmarkEnd w:id="171"/>
      <w:bookmarkEnd w:id="172"/>
      <w:bookmarkEnd w:id="173"/>
      <w:bookmarkEnd w:id="174"/>
      <w:bookmarkEnd w:id="17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76" w:name="_Toc16330033"/>
      <w:bookmarkStart w:id="177" w:name="_Toc5747"/>
      <w:bookmarkStart w:id="178" w:name="_Toc18207"/>
      <w:bookmarkStart w:id="179" w:name="_Toc23765"/>
      <w:bookmarkStart w:id="180" w:name="_Toc23906"/>
      <w:r>
        <w:rPr>
          <w:rFonts w:hint="eastAsia" w:ascii="黑体" w:hAnsi="黑体" w:eastAsia="黑体" w:cstheme="minorEastAsia"/>
          <w:b w:val="0"/>
          <w:sz w:val="28"/>
          <w:szCs w:val="28"/>
        </w:rPr>
        <w:t>16 附件</w:t>
      </w:r>
      <w:bookmarkEnd w:id="176"/>
      <w:bookmarkEnd w:id="177"/>
      <w:bookmarkEnd w:id="178"/>
      <w:bookmarkEnd w:id="179"/>
      <w:bookmarkEnd w:id="18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81" w:name="_Toc9594"/>
      <w:bookmarkStart w:id="182" w:name="_Toc27202"/>
      <w:bookmarkStart w:id="183" w:name="_Toc31331"/>
      <w:bookmarkStart w:id="184" w:name="_Toc16330034"/>
      <w:bookmarkStart w:id="185" w:name="_Toc17656"/>
      <w:r>
        <w:rPr>
          <w:rFonts w:hint="eastAsia" w:ascii="黑体" w:hAnsi="黑体" w:eastAsia="黑体" w:cstheme="minorEastAsia"/>
          <w:b w:val="0"/>
          <w:sz w:val="28"/>
          <w:szCs w:val="28"/>
        </w:rPr>
        <w:t>17 其他规定</w:t>
      </w:r>
      <w:bookmarkEnd w:id="181"/>
      <w:bookmarkEnd w:id="182"/>
      <w:bookmarkEnd w:id="183"/>
      <w:bookmarkEnd w:id="184"/>
      <w:bookmarkEnd w:id="18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86" w:name="_Toc17952"/>
      <w:bookmarkStart w:id="187" w:name="_Toc29136"/>
      <w:bookmarkStart w:id="188" w:name="_Toc16330035"/>
      <w:bookmarkStart w:id="189"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90" w:name="_Toc15340"/>
      <w:r>
        <w:rPr>
          <w:rFonts w:hint="eastAsia" w:ascii="黑体" w:hAnsi="黑体" w:eastAsia="黑体" w:cstheme="minorEastAsia"/>
          <w:b w:val="0"/>
          <w:sz w:val="28"/>
          <w:szCs w:val="28"/>
        </w:rPr>
        <w:t>18 签署事项</w:t>
      </w:r>
      <w:bookmarkEnd w:id="186"/>
      <w:bookmarkEnd w:id="187"/>
      <w:bookmarkEnd w:id="188"/>
      <w:bookmarkEnd w:id="189"/>
      <w:bookmarkEnd w:id="19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91" w:name="_Toc28611"/>
      <w:bookmarkStart w:id="192" w:name="_Toc10272"/>
      <w:bookmarkStart w:id="193" w:name="_Toc16330036"/>
      <w:bookmarkStart w:id="194" w:name="_Toc15689"/>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bookmarkEnd w:id="191"/>
    <w:bookmarkEnd w:id="192"/>
    <w:bookmarkEnd w:id="193"/>
    <w:bookmarkEnd w:id="194"/>
    <w:p>
      <w:pPr>
        <w:rPr>
          <w:sz w:val="24"/>
          <w:szCs w:val="24"/>
        </w:rPr>
      </w:pPr>
    </w:p>
    <w:p>
      <w:pPr>
        <w:pStyle w:val="2"/>
        <w:tabs>
          <w:tab w:val="right" w:leader="dot" w:pos="9061"/>
        </w:tabs>
        <w:ind w:firstLine="280" w:firstLineChars="100"/>
        <w:rPr>
          <w:rFonts w:ascii="黑体" w:hAnsi="黑体" w:eastAsia="黑体" w:cstheme="minorEastAsia"/>
          <w:b w:val="0"/>
          <w:sz w:val="28"/>
          <w:szCs w:val="28"/>
        </w:rPr>
      </w:pPr>
      <w:bookmarkStart w:id="195" w:name="_Toc14581"/>
      <w:r>
        <w:rPr>
          <w:rFonts w:hint="eastAsia" w:ascii="黑体" w:hAnsi="黑体" w:eastAsia="黑体" w:cstheme="minorEastAsia"/>
          <w:b w:val="0"/>
          <w:sz w:val="28"/>
          <w:szCs w:val="28"/>
        </w:rPr>
        <w:t>附件一：设备清单明细表</w:t>
      </w:r>
      <w:bookmarkEnd w:id="195"/>
    </w:p>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9"/>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96" w:name="_Toc24623"/>
      <w:bookmarkStart w:id="197" w:name="_Toc5379"/>
      <w:bookmarkStart w:id="198" w:name="_Toc25120"/>
      <w:bookmarkStart w:id="199" w:name="_Toc3778"/>
      <w:bookmarkStart w:id="200" w:name="_Toc16330037"/>
    </w:p>
    <w:p>
      <w:pPr>
        <w:rPr>
          <w:rFonts w:hint="eastAsia" w:ascii="黑体" w:hAnsi="黑体" w:eastAsia="黑体" w:cstheme="minorEastAsia"/>
          <w:sz w:val="28"/>
          <w:szCs w:val="28"/>
        </w:rPr>
      </w:pPr>
      <w:bookmarkStart w:id="201" w:name="_Toc8175"/>
    </w:p>
    <w:p>
      <w:pPr>
        <w:rPr>
          <w:rFonts w:hint="eastAsia" w:ascii="黑体" w:hAnsi="黑体" w:eastAsia="黑体" w:cstheme="minorEastAsia"/>
          <w:sz w:val="28"/>
          <w:szCs w:val="28"/>
        </w:rPr>
      </w:pPr>
    </w:p>
    <w:p>
      <w:pPr>
        <w:rPr>
          <w:rFonts w:hint="eastAsia" w:ascii="黑体" w:hAnsi="黑体" w:eastAsia="黑体" w:cstheme="minorEastAsia"/>
          <w:sz w:val="28"/>
          <w:szCs w:val="28"/>
        </w:rPr>
      </w:pPr>
    </w:p>
    <w:p>
      <w:pPr>
        <w:rPr>
          <w:rFonts w:hint="eastAsia" w:ascii="黑体" w:hAnsi="黑体" w:eastAsia="黑体" w:cstheme="minorEastAsia"/>
          <w:sz w:val="28"/>
          <w:szCs w:val="28"/>
        </w:rPr>
      </w:pPr>
    </w:p>
    <w:p>
      <w:pPr>
        <w:rPr>
          <w:rFonts w:hint="eastAsia" w:ascii="黑体" w:hAnsi="黑体" w:eastAsia="黑体" w:cstheme="minorEastAsia"/>
          <w:sz w:val="28"/>
          <w:szCs w:val="28"/>
        </w:rPr>
      </w:pPr>
    </w:p>
    <w:p>
      <w:pPr>
        <w:rPr>
          <w:rFonts w:hint="eastAsia" w:ascii="黑体" w:hAnsi="黑体" w:eastAsia="黑体" w:cstheme="minorEastAsia"/>
          <w:sz w:val="28"/>
          <w:szCs w:val="28"/>
        </w:rPr>
      </w:pPr>
    </w:p>
    <w:p>
      <w:pPr>
        <w:rPr>
          <w:rFonts w:hint="eastAsia" w:ascii="黑体" w:hAnsi="黑体" w:eastAsia="黑体" w:cstheme="minorEastAsia"/>
          <w:sz w:val="28"/>
          <w:szCs w:val="28"/>
        </w:rPr>
      </w:pPr>
    </w:p>
    <w:p>
      <w:pPr>
        <w:rPr>
          <w:rFonts w:hint="eastAsia" w:ascii="黑体" w:hAnsi="黑体" w:eastAsia="黑体" w:cstheme="minorEastAsia"/>
          <w:sz w:val="28"/>
          <w:szCs w:val="28"/>
        </w:rPr>
      </w:pPr>
    </w:p>
    <w:p>
      <w:pPr>
        <w:rPr>
          <w:rFonts w:hint="eastAsia" w:ascii="黑体" w:hAnsi="黑体" w:eastAsia="黑体" w:cstheme="minorEastAsia"/>
          <w:sz w:val="28"/>
          <w:szCs w:val="28"/>
        </w:rPr>
      </w:pPr>
    </w:p>
    <w:p>
      <w:pPr>
        <w:rPr>
          <w:rFonts w:hint="eastAsia" w:ascii="黑体" w:hAnsi="黑体" w:eastAsia="黑体" w:cstheme="minorEastAsia"/>
          <w:sz w:val="28"/>
          <w:szCs w:val="28"/>
        </w:rPr>
      </w:pPr>
    </w:p>
    <w:p>
      <w:r>
        <w:rPr>
          <w:rFonts w:hint="eastAsia" w:ascii="黑体" w:hAnsi="黑体" w:eastAsia="黑体" w:cstheme="minorEastAsia"/>
          <w:sz w:val="28"/>
          <w:szCs w:val="28"/>
        </w:rPr>
        <w:t xml:space="preserve">附件二 </w:t>
      </w:r>
      <w:bookmarkEnd w:id="196"/>
      <w:bookmarkEnd w:id="197"/>
      <w:bookmarkEnd w:id="198"/>
      <w:bookmarkEnd w:id="199"/>
      <w:bookmarkEnd w:id="200"/>
      <w:r>
        <w:rPr>
          <w:rFonts w:hint="eastAsia" w:ascii="黑体" w:hAnsi="黑体" w:eastAsia="黑体" w:cstheme="minorEastAsia"/>
          <w:sz w:val="28"/>
          <w:szCs w:val="28"/>
        </w:rPr>
        <w:t>技术协议书</w:t>
      </w:r>
      <w:bookmarkEnd w:id="201"/>
    </w:p>
    <w:p>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pPr>
        <w:sectPr>
          <w:footerReference r:id="rId18" w:type="first"/>
          <w:headerReference r:id="rId16" w:type="default"/>
          <w:footerReference r:id="rId17"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202" w:name="_Toc2969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202"/>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pP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pPr>
      <w:r>
        <w:rPr>
          <w:rFonts w:hint="eastAsia" w:ascii="宋体" w:hAnsi="宋体" w:eastAsia="宋体" w:cs="宋体"/>
          <w:sz w:val="24"/>
          <w:szCs w:val="24"/>
        </w:rPr>
        <w:t>5、所有附件文件应以中文书写，作为投标文件的组成部分。</w:t>
      </w:r>
    </w:p>
    <w:p>
      <w:pPr>
        <w:bidi w:val="0"/>
      </w:pPr>
    </w:p>
    <w:p>
      <w:pPr>
        <w:bidi w:val="0"/>
      </w:pPr>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03" w:name="_Toc639004"/>
      <w:bookmarkStart w:id="204" w:name="_Toc212369550"/>
      <w:bookmarkStart w:id="205" w:name="_Toc25811"/>
      <w:bookmarkStart w:id="206"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203"/>
      <w:bookmarkEnd w:id="204"/>
      <w:bookmarkEnd w:id="205"/>
      <w:bookmarkEnd w:id="206"/>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r>
        <w:rPr>
          <w:rFonts w:hint="eastAsia" w:ascii="宋体" w:hAnsi="宋体" w:eastAsia="宋体" w:cs="Times New Roman"/>
          <w:bCs/>
          <w:snapToGrid w:val="0"/>
          <w:color w:val="000000"/>
          <w:kern w:val="0"/>
          <w:sz w:val="24"/>
          <w:szCs w:val="24"/>
        </w:rPr>
        <w:t>招标公告</w:t>
      </w:r>
      <w:r>
        <w:rPr>
          <w:rFonts w:ascii="宋体" w:hAnsi="宋体" w:eastAsia="宋体" w:cs="Times New Roman"/>
          <w:b/>
          <w:bCs/>
          <w:snapToGrid w:val="0"/>
          <w:color w:val="000000"/>
          <w:kern w:val="0"/>
          <w:sz w:val="24"/>
          <w:szCs w:val="24"/>
          <w:u w:val="single"/>
        </w:rPr>
        <w:t xml:space="preserve">              </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rPr>
        <w:t>两</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rPr>
          <w:rFonts w:ascii="黑体" w:hAnsi="Calibri" w:eastAsia="黑体" w:cs="Times New Roman"/>
          <w:color w:val="000000"/>
          <w:sz w:val="24"/>
          <w:szCs w:val="24"/>
        </w:rPr>
      </w:pPr>
      <w:r>
        <w:rPr>
          <w:rFonts w:ascii="黑体" w:hAnsi="Calibri" w:eastAsia="黑体" w:cs="Times New Roman"/>
          <w:color w:val="000000"/>
          <w:sz w:val="24"/>
          <w:szCs w:val="24"/>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CGZX2025080268）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rPr>
        <w:t>3-</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3"/>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3"/>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3"/>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3"/>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14"/>
              <w:ind w:left="720"/>
            </w:pPr>
            <w:r>
              <w:t xml:space="preserve">品牌区分 </w:t>
            </w:r>
          </w:p>
        </w:tc>
        <w:tc>
          <w:tcPr>
            <w:tcW w:w="7500" w:type="dxa"/>
            <w:gridSpan w:val="6"/>
          </w:tcPr>
          <w:p>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3"/>
              <w:spacing w:before="15"/>
              <w:ind w:left="279"/>
            </w:pPr>
            <w:r>
              <w:rPr>
                <w:spacing w:val="-2"/>
              </w:rPr>
              <w:t>质量</w:t>
            </w:r>
            <w:r>
              <w:t xml:space="preserve"> </w:t>
            </w:r>
          </w:p>
          <w:p>
            <w:pPr>
              <w:pStyle w:val="133"/>
              <w:spacing w:before="30" w:line="277" w:lineRule="exact"/>
              <w:ind w:left="279"/>
            </w:pPr>
            <w:r>
              <w:rPr>
                <w:rFonts w:hint="eastAsia"/>
              </w:rPr>
              <w:t>体系</w:t>
            </w:r>
          </w:p>
        </w:tc>
        <w:tc>
          <w:tcPr>
            <w:tcW w:w="2820" w:type="dxa"/>
            <w:gridSpan w:val="2"/>
          </w:tcPr>
          <w:p>
            <w:pPr>
              <w:pStyle w:val="133"/>
              <w:spacing w:before="158"/>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3"/>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int="eastAsia" w:hAnsi="宋体" w:eastAsia="宋体" w:cs="宋体"/>
          <w:spacing w:val="-7"/>
          <w:sz w:val="24"/>
          <w:szCs w:val="24"/>
        </w:rPr>
        <w:t>3-</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0"/>
        <w:rPr>
          <w:rFonts w:ascii="Times New Roman" w:hAnsi="Times New Roman" w:eastAsia="宋体" w:cs="Times New Roman"/>
          <w:b/>
          <w:bCs/>
          <w:color w:val="000000"/>
          <w:sz w:val="24"/>
          <w:szCs w:val="24"/>
        </w:rPr>
      </w:pPr>
    </w:p>
    <w:tbl>
      <w:tblPr>
        <w:tblStyle w:val="39"/>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b/>
          <w:bCs/>
          <w:color w:val="000000"/>
          <w:sz w:val="24"/>
          <w:szCs w:val="24"/>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pPr>
              <w:jc w:val="center"/>
              <w:rPr>
                <w:rFonts w:ascii="Times New Roman" w:hAnsi="Times New Roman" w:eastAsia="宋体" w:cs="Times New Roman"/>
                <w:b/>
                <w:szCs w:val="21"/>
              </w:rPr>
            </w:pPr>
            <w:r>
              <w:rPr>
                <w:rFonts w:hint="eastAsia" w:ascii="宋体" w:hAnsi="宋体" w:eastAsia="宋体" w:cs="Times New Roman"/>
                <w:b/>
                <w:bCs/>
                <w:color w:val="000000"/>
                <w:szCs w:val="21"/>
                <w:u w:val="single"/>
                <w:lang w:val="en-US" w:eastAsia="zh-CN"/>
              </w:rPr>
              <w:t>桌面HIL台架</w:t>
            </w:r>
            <w:r>
              <w:rPr>
                <w:rFonts w:ascii="宋体" w:hAnsi="宋体" w:eastAsia="宋体" w:cs="Times New Roman"/>
                <w:color w:val="000000"/>
                <w:szCs w:val="21"/>
              </w:rPr>
              <w:t xml:space="preserve"> </w:t>
            </w:r>
          </w:p>
        </w:tc>
        <w:tc>
          <w:tcPr>
            <w:tcW w:w="7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6</w:t>
            </w:r>
            <w:r>
              <w:rPr>
                <w:rFonts w:hint="eastAsia" w:ascii="Times New Roman" w:hAnsi="Times New Roman" w:eastAsia="宋体" w:cs="Times New Roman"/>
                <w:b/>
                <w:szCs w:val="20"/>
              </w:rPr>
              <w:t>套</w:t>
            </w:r>
          </w:p>
        </w:tc>
        <w:tc>
          <w:tcPr>
            <w:tcW w:w="158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990" w:type="dxa"/>
            <w:vAlign w:val="center"/>
          </w:tcPr>
          <w:p>
            <w:pPr>
              <w:jc w:val="center"/>
              <w:rPr>
                <w:rFonts w:ascii="Times New Roman" w:hAnsi="Times New Roman" w:eastAsia="宋体" w:cs="Times New Roman"/>
                <w:b/>
                <w:szCs w:val="20"/>
              </w:rPr>
            </w:pPr>
          </w:p>
        </w:tc>
        <w:tc>
          <w:tcPr>
            <w:tcW w:w="1375" w:type="dxa"/>
            <w:vAlign w:val="center"/>
          </w:tcPr>
          <w:p>
            <w:pPr>
              <w:jc w:val="center"/>
              <w:rPr>
                <w:rFonts w:ascii="Times New Roman" w:hAnsi="Times New Roman" w:eastAsia="宋体" w:cs="Times New Roman"/>
                <w:b/>
                <w:szCs w:val="20"/>
              </w:rPr>
            </w:pPr>
          </w:p>
        </w:tc>
        <w:tc>
          <w:tcPr>
            <w:tcW w:w="1065" w:type="dxa"/>
            <w:vAlign w:val="center"/>
          </w:tcPr>
          <w:p>
            <w:pPr>
              <w:jc w:val="center"/>
              <w:rPr>
                <w:rFonts w:ascii="Times New Roman" w:hAnsi="Times New Roman" w:eastAsia="宋体" w:cs="Times New Roman"/>
                <w:b/>
                <w:szCs w:val="20"/>
              </w:rPr>
            </w:pPr>
          </w:p>
        </w:tc>
        <w:tc>
          <w:tcPr>
            <w:tcW w:w="1132"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0"/>
        <w:sectPr>
          <w:pgSz w:w="11906" w:h="16838"/>
          <w:pgMar w:top="1588" w:right="1418" w:bottom="1134" w:left="1418" w:header="851" w:footer="992" w:gutter="0"/>
          <w:cols w:space="720" w:num="1"/>
          <w:titlePg/>
          <w:docGrid w:type="lines" w:linePitch="312" w:charSpace="0"/>
        </w:sectPr>
      </w:pPr>
    </w:p>
    <w:p>
      <w:pPr>
        <w:rPr>
          <w:rFonts w:ascii="宋体" w:hAnsi="宋体" w:cs="宋体"/>
          <w:color w:val="000000"/>
          <w:sz w:val="24"/>
          <w:szCs w:val="24"/>
        </w:rPr>
      </w:pPr>
    </w:p>
    <w:p>
      <w:pPr>
        <w:pStyle w:val="5"/>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792"/>
        <w:gridCol w:w="1685"/>
        <w:gridCol w:w="1120"/>
        <w:gridCol w:w="2205"/>
        <w:gridCol w:w="2280"/>
        <w:gridCol w:w="2151"/>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792"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85"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05"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280" w:type="dxa"/>
            <w:tcBorders>
              <w:right w:val="single" w:color="000000" w:sz="4" w:space="0"/>
            </w:tcBorders>
          </w:tcPr>
          <w:p>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51"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tcPr>
          <w:p>
            <w:pPr>
              <w:spacing w:before="221" w:line="222" w:lineRule="auto"/>
              <w:ind w:left="129"/>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序</w:t>
            </w:r>
            <w:r>
              <w:rPr>
                <w:rFonts w:ascii="宋体" w:hAnsi="宋体" w:eastAsia="宋体" w:cs="宋体"/>
                <w:spacing w:val="-1"/>
                <w:szCs w:val="21"/>
                <w14:textOutline w14:w="3835" w14:cap="flat" w14:cmpd="sng" w14:algn="ctr">
                  <w14:solidFill>
                    <w14:srgbClr w14:val="000000"/>
                  </w14:solidFill>
                  <w14:prstDash w14:val="solid"/>
                  <w14:miter w14:val="0"/>
                </w14:textOutline>
              </w:rPr>
              <w:t>号</w:t>
            </w:r>
          </w:p>
        </w:tc>
        <w:tc>
          <w:tcPr>
            <w:tcW w:w="2792" w:type="dxa"/>
          </w:tcPr>
          <w:p>
            <w:pPr>
              <w:spacing w:before="221" w:line="220" w:lineRule="auto"/>
              <w:ind w:left="707"/>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货物名</w:t>
            </w:r>
            <w:r>
              <w:rPr>
                <w:rFonts w:ascii="宋体" w:hAnsi="宋体" w:eastAsia="宋体" w:cs="宋体"/>
                <w:spacing w:val="-1"/>
                <w:szCs w:val="21"/>
                <w14:textOutline w14:w="3835" w14:cap="flat" w14:cmpd="sng" w14:algn="ctr">
                  <w14:solidFill>
                    <w14:srgbClr w14:val="000000"/>
                  </w14:solidFill>
                  <w14:prstDash w14:val="solid"/>
                  <w14:miter w14:val="0"/>
                </w14:textOutline>
              </w:rPr>
              <w:t>称</w:t>
            </w:r>
          </w:p>
        </w:tc>
        <w:tc>
          <w:tcPr>
            <w:tcW w:w="1685" w:type="dxa"/>
          </w:tcPr>
          <w:p>
            <w:pPr>
              <w:spacing w:before="221" w:line="221" w:lineRule="auto"/>
              <w:ind w:firstLine="206" w:firstLineChars="100"/>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120" w:type="dxa"/>
          </w:tcPr>
          <w:p>
            <w:pPr>
              <w:spacing w:before="221" w:line="221" w:lineRule="auto"/>
              <w:ind w:left="355"/>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2205" w:type="dxa"/>
          </w:tcPr>
          <w:p>
            <w:pPr>
              <w:spacing w:before="59" w:line="254" w:lineRule="auto"/>
              <w:ind w:right="308"/>
              <w:jc w:val="center"/>
              <w:rPr>
                <w:rFonts w:ascii="宋体" w:hAnsi="宋体" w:eastAsia="宋体" w:cs="宋体"/>
                <w:szCs w:val="21"/>
              </w:rPr>
            </w:pP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3"/>
                <w:szCs w:val="21"/>
                <w14:textOutline w14:w="3835" w14:cap="flat" w14:cmpd="sng" w14:algn="ctr">
                  <w14:solidFill>
                    <w14:srgbClr w14:val="000000"/>
                  </w14:solidFill>
                  <w14:prstDash w14:val="solid"/>
                  <w14:miter w14:val="0"/>
                </w14:textOutline>
              </w:rPr>
              <w:t>原</w:t>
            </w:r>
            <w:r>
              <w:rPr>
                <w:rFonts w:ascii="宋体" w:hAnsi="宋体" w:eastAsia="宋体" w:cs="宋体"/>
                <w:spacing w:val="-2"/>
                <w:szCs w:val="21"/>
                <w14:textOutline w14:w="3835" w14:cap="flat" w14:cmpd="sng" w14:algn="ctr">
                  <w14:solidFill>
                    <w14:srgbClr w14:val="000000"/>
                  </w14:solidFill>
                  <w14:prstDash w14:val="solid"/>
                  <w14:miter w14:val="0"/>
                </w14:textOutline>
              </w:rPr>
              <w:t>产地和</w:t>
            </w:r>
            <w:r>
              <w:rPr>
                <w:rFonts w:ascii="宋体" w:hAnsi="宋体" w:eastAsia="宋体" w:cs="宋体"/>
                <w:spacing w:val="-1"/>
                <w:szCs w:val="21"/>
                <w14:textOutline w14:w="3835" w14:cap="flat" w14:cmpd="sng" w14:algn="ctr">
                  <w14:solidFill>
                    <w14:srgbClr w14:val="000000"/>
                  </w14:solidFill>
                  <w14:prstDash w14:val="solid"/>
                  <w14:miter w14:val="0"/>
                </w14:textOutline>
              </w:rPr>
              <w:t>制造商名</w:t>
            </w:r>
            <w:r>
              <w:rPr>
                <w:rFonts w:ascii="宋体" w:hAnsi="宋体" w:eastAsia="宋体" w:cs="宋体"/>
                <w:szCs w:val="21"/>
                <w14:textOutline w14:w="3835" w14:cap="flat" w14:cmpd="sng" w14:algn="ctr">
                  <w14:solidFill>
                    <w14:srgbClr w14:val="000000"/>
                  </w14:solidFill>
                  <w14:prstDash w14:val="solid"/>
                  <w14:miter w14:val="0"/>
                </w14:textOutline>
              </w:rPr>
              <w:t>称</w:t>
            </w:r>
          </w:p>
        </w:tc>
        <w:tc>
          <w:tcPr>
            <w:tcW w:w="2280" w:type="dxa"/>
            <w:tcBorders>
              <w:right w:val="single" w:color="000000" w:sz="4" w:space="0"/>
            </w:tcBorders>
          </w:tcPr>
          <w:p>
            <w:pPr>
              <w:spacing w:before="58" w:line="219"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8" w:line="221" w:lineRule="auto"/>
              <w:ind w:firstLine="890" w:firstLineChars="500"/>
              <w:rPr>
                <w:rFonts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2151" w:type="dxa"/>
            <w:tcBorders>
              <w:left w:val="single" w:color="000000" w:sz="4" w:space="0"/>
            </w:tcBorders>
          </w:tcPr>
          <w:p>
            <w:pPr>
              <w:spacing w:before="58" w:line="219" w:lineRule="auto"/>
              <w:jc w:val="center"/>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总价[4</w:t>
            </w:r>
            <w:r>
              <w:rPr>
                <w:rFonts w:ascii="宋体" w:hAnsi="宋体" w:eastAsia="宋体" w:cs="宋体"/>
                <w:szCs w:val="21"/>
                <w14:textOutline w14:w="3835" w14:cap="flat" w14:cmpd="sng" w14:algn="ctr">
                  <w14:solidFill>
                    <w14:srgbClr w14:val="000000"/>
                  </w14:solidFill>
                  <w14:prstDash w14:val="solid"/>
                  <w14:miter w14:val="0"/>
                </w14:textOutline>
              </w:rPr>
              <w:t>×6]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58" w:line="219" w:lineRule="auto"/>
              <w:jc w:val="center"/>
              <w:rPr>
                <w:rFonts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069" w:type="dxa"/>
          </w:tcPr>
          <w:p>
            <w:pPr>
              <w:spacing w:before="221" w:line="222" w:lineRule="auto"/>
              <w:ind w:firstLine="208" w:firstLineChars="10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Cs w:val="21"/>
              </w:rPr>
            </w:pPr>
            <w:r>
              <w:rPr>
                <w:rFonts w:ascii="宋体" w:hAnsi="宋体" w:eastAsia="宋体" w:cs="宋体"/>
                <w:szCs w:val="21"/>
              </w:rPr>
              <w:t>1</w:t>
            </w:r>
          </w:p>
        </w:tc>
        <w:tc>
          <w:tcPr>
            <w:tcW w:w="2792" w:type="dxa"/>
            <w:vAlign w:val="center"/>
          </w:tcPr>
          <w:p>
            <w:pPr>
              <w:spacing w:line="360" w:lineRule="exact"/>
              <w:jc w:val="center"/>
              <w:rPr>
                <w:rFonts w:hint="default" w:ascii="宋体" w:hAnsi="宋体" w:eastAsia="宋体" w:cs="宋体"/>
                <w:szCs w:val="21"/>
                <w:lang w:val="en-US" w:eastAsia="zh-CN"/>
              </w:rPr>
            </w:pPr>
          </w:p>
        </w:tc>
        <w:tc>
          <w:tcPr>
            <w:tcW w:w="1685" w:type="dxa"/>
          </w:tcPr>
          <w:p>
            <w:pPr>
              <w:rPr>
                <w:rFonts w:ascii="Arial"/>
              </w:rPr>
            </w:pPr>
          </w:p>
        </w:tc>
        <w:tc>
          <w:tcPr>
            <w:tcW w:w="1120" w:type="dxa"/>
            <w:vAlign w:val="center"/>
          </w:tcPr>
          <w:p>
            <w:pPr>
              <w:spacing w:line="360" w:lineRule="exact"/>
              <w:jc w:val="center"/>
              <w:rPr>
                <w:rFonts w:ascii="宋体" w:hAnsi="宋体" w:eastAsia="宋体" w:cs="宋体"/>
                <w:sz w:val="24"/>
                <w:szCs w:val="24"/>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1" w:line="185" w:lineRule="auto"/>
              <w:ind w:left="291"/>
              <w:rPr>
                <w:rFonts w:ascii="宋体" w:hAnsi="宋体" w:eastAsia="宋体" w:cs="宋体"/>
                <w:szCs w:val="21"/>
              </w:rPr>
            </w:pPr>
            <w:r>
              <w:rPr>
                <w:rFonts w:ascii="宋体" w:hAnsi="宋体" w:eastAsia="宋体" w:cs="宋体"/>
                <w:szCs w:val="21"/>
              </w:rPr>
              <w:t>2</w:t>
            </w:r>
          </w:p>
        </w:tc>
        <w:tc>
          <w:tcPr>
            <w:tcW w:w="2792" w:type="dxa"/>
            <w:vAlign w:val="center"/>
          </w:tcPr>
          <w:p>
            <w:pPr>
              <w:spacing w:line="360" w:lineRule="exact"/>
              <w:jc w:val="center"/>
              <w:rPr>
                <w:rFonts w:ascii="宋体" w:hAnsi="宋体" w:eastAsia="宋体" w:cs="宋体"/>
                <w:sz w:val="24"/>
                <w:szCs w:val="24"/>
              </w:rPr>
            </w:pPr>
          </w:p>
        </w:tc>
        <w:tc>
          <w:tcPr>
            <w:tcW w:w="1685" w:type="dxa"/>
          </w:tcPr>
          <w:p>
            <w:pPr>
              <w:rPr>
                <w:rFonts w:ascii="Arial"/>
              </w:rPr>
            </w:pPr>
          </w:p>
        </w:tc>
        <w:tc>
          <w:tcPr>
            <w:tcW w:w="1120" w:type="dxa"/>
            <w:vAlign w:val="center"/>
          </w:tcPr>
          <w:p>
            <w:pPr>
              <w:spacing w:line="360" w:lineRule="exact"/>
              <w:jc w:val="center"/>
              <w:rPr>
                <w:rFonts w:ascii="宋体" w:hAnsi="宋体" w:eastAsia="宋体" w:cs="宋体"/>
                <w:sz w:val="24"/>
                <w:szCs w:val="24"/>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2" w:line="183" w:lineRule="auto"/>
              <w:ind w:left="293"/>
              <w:rPr>
                <w:rFonts w:ascii="宋体" w:hAnsi="宋体" w:eastAsia="宋体" w:cs="宋体"/>
                <w:szCs w:val="21"/>
              </w:rPr>
            </w:pPr>
            <w:r>
              <w:rPr>
                <w:rFonts w:ascii="宋体" w:hAnsi="宋体" w:eastAsia="宋体" w:cs="宋体"/>
                <w:szCs w:val="21"/>
              </w:rPr>
              <w:t>3</w:t>
            </w:r>
          </w:p>
        </w:tc>
        <w:tc>
          <w:tcPr>
            <w:tcW w:w="2792" w:type="dxa"/>
            <w:vAlign w:val="center"/>
          </w:tcPr>
          <w:p>
            <w:pPr>
              <w:spacing w:line="360" w:lineRule="exact"/>
              <w:jc w:val="center"/>
              <w:rPr>
                <w:rFonts w:ascii="宋体" w:hAnsi="宋体" w:eastAsia="宋体" w:cs="宋体"/>
                <w:sz w:val="24"/>
                <w:szCs w:val="24"/>
              </w:rPr>
            </w:pPr>
          </w:p>
        </w:tc>
        <w:tc>
          <w:tcPr>
            <w:tcW w:w="1685" w:type="dxa"/>
          </w:tcPr>
          <w:p>
            <w:pPr>
              <w:rPr>
                <w:rFonts w:ascii="Arial"/>
              </w:rPr>
            </w:pPr>
          </w:p>
        </w:tc>
        <w:tc>
          <w:tcPr>
            <w:tcW w:w="1120" w:type="dxa"/>
            <w:vAlign w:val="center"/>
          </w:tcPr>
          <w:p>
            <w:pPr>
              <w:spacing w:line="360" w:lineRule="exact"/>
              <w:jc w:val="center"/>
              <w:rPr>
                <w:rFonts w:ascii="宋体" w:hAnsi="宋体" w:eastAsia="宋体" w:cs="宋体"/>
                <w:sz w:val="24"/>
                <w:szCs w:val="24"/>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2" w:line="185" w:lineRule="auto"/>
              <w:ind w:left="288"/>
              <w:rPr>
                <w:rFonts w:ascii="宋体" w:hAnsi="宋体" w:eastAsia="宋体" w:cs="宋体"/>
                <w:szCs w:val="21"/>
              </w:rPr>
            </w:pPr>
            <w:r>
              <w:rPr>
                <w:rFonts w:ascii="宋体" w:hAnsi="宋体" w:eastAsia="宋体" w:cs="宋体"/>
                <w:szCs w:val="21"/>
              </w:rPr>
              <w:t>4</w:t>
            </w:r>
          </w:p>
        </w:tc>
        <w:tc>
          <w:tcPr>
            <w:tcW w:w="2792" w:type="dxa"/>
            <w:vAlign w:val="center"/>
          </w:tcPr>
          <w:p>
            <w:pPr>
              <w:spacing w:line="360" w:lineRule="exact"/>
              <w:jc w:val="center"/>
              <w:rPr>
                <w:rFonts w:ascii="宋体" w:hAnsi="宋体" w:eastAsia="宋体" w:cs="宋体"/>
                <w:sz w:val="24"/>
                <w:szCs w:val="24"/>
              </w:rPr>
            </w:pPr>
          </w:p>
        </w:tc>
        <w:tc>
          <w:tcPr>
            <w:tcW w:w="1685" w:type="dxa"/>
          </w:tcPr>
          <w:p>
            <w:pPr>
              <w:rPr>
                <w:rFonts w:ascii="Arial"/>
              </w:rPr>
            </w:pPr>
          </w:p>
        </w:tc>
        <w:tc>
          <w:tcPr>
            <w:tcW w:w="1120" w:type="dxa"/>
            <w:vAlign w:val="center"/>
          </w:tcPr>
          <w:p>
            <w:pPr>
              <w:spacing w:line="360" w:lineRule="exact"/>
              <w:jc w:val="center"/>
              <w:rPr>
                <w:rFonts w:ascii="宋体" w:hAnsi="宋体" w:eastAsia="宋体" w:cs="宋体"/>
                <w:sz w:val="24"/>
                <w:szCs w:val="24"/>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2" w:lineRule="auto"/>
              <w:ind w:left="293"/>
              <w:rPr>
                <w:rFonts w:ascii="宋体" w:hAnsi="宋体" w:eastAsia="宋体" w:cs="宋体"/>
                <w:szCs w:val="21"/>
              </w:rPr>
            </w:pPr>
            <w:r>
              <w:rPr>
                <w:rFonts w:ascii="宋体" w:hAnsi="宋体" w:eastAsia="宋体" w:cs="宋体"/>
                <w:szCs w:val="21"/>
              </w:rPr>
              <w:t>5</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3" w:lineRule="auto"/>
              <w:ind w:left="291"/>
              <w:rPr>
                <w:rFonts w:ascii="宋体" w:hAnsi="宋体" w:eastAsia="宋体" w:cs="宋体"/>
                <w:szCs w:val="21"/>
              </w:rPr>
            </w:pPr>
            <w:r>
              <w:rPr>
                <w:rFonts w:ascii="宋体" w:hAnsi="宋体" w:eastAsia="宋体" w:cs="宋体"/>
                <w:szCs w:val="21"/>
              </w:rPr>
              <w:t>6</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tcPr>
          <w:p>
            <w:pPr>
              <w:spacing w:before="116" w:line="182" w:lineRule="auto"/>
              <w:ind w:left="294"/>
              <w:rPr>
                <w:rFonts w:ascii="宋体" w:hAnsi="宋体" w:eastAsia="宋体" w:cs="宋体"/>
                <w:szCs w:val="21"/>
              </w:rPr>
            </w:pPr>
            <w:r>
              <w:rPr>
                <w:rFonts w:ascii="宋体" w:hAnsi="宋体" w:eastAsia="宋体" w:cs="宋体"/>
                <w:szCs w:val="21"/>
              </w:rPr>
              <w:t>7</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4" w:line="183" w:lineRule="auto"/>
              <w:ind w:left="290"/>
              <w:rPr>
                <w:rFonts w:ascii="宋体" w:hAnsi="宋体" w:eastAsia="宋体" w:cs="宋体"/>
                <w:szCs w:val="21"/>
              </w:rPr>
            </w:pPr>
            <w:r>
              <w:rPr>
                <w:rFonts w:ascii="宋体" w:hAnsi="宋体" w:eastAsia="宋体" w:cs="宋体"/>
                <w:szCs w:val="21"/>
              </w:rPr>
              <w:t>8</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3" w:lineRule="auto"/>
              <w:ind w:left="290"/>
              <w:rPr>
                <w:rFonts w:ascii="宋体" w:hAnsi="宋体" w:eastAsia="宋体" w:cs="宋体"/>
                <w:szCs w:val="21"/>
              </w:rPr>
            </w:pPr>
            <w:r>
              <w:rPr>
                <w:rFonts w:ascii="宋体" w:hAnsi="宋体" w:eastAsia="宋体" w:cs="宋体"/>
                <w:szCs w:val="21"/>
              </w:rPr>
              <w:t>9</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hint="eastAsia" w:ascii="宋体" w:hAnsi="宋体" w:eastAsia="宋体" w:cs="宋体"/>
                <w:position w:val="1"/>
                <w:szCs w:val="21"/>
              </w:rPr>
              <w:t>10</w:t>
            </w:r>
          </w:p>
        </w:tc>
        <w:tc>
          <w:tcPr>
            <w:tcW w:w="2792" w:type="dxa"/>
          </w:tcPr>
          <w:p>
            <w:pPr>
              <w:jc w:val="center"/>
              <w:rPr>
                <w:rFonts w:ascii="宋体" w:hAnsi="宋体" w:eastAsia="宋体" w:cs="宋体"/>
              </w:rPr>
            </w:pP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rPr>
            </w:pPr>
            <w:r>
              <w:rPr>
                <w:rFonts w:hint="eastAsia" w:ascii="宋体" w:hAnsi="宋体" w:eastAsia="宋体" w:cs="宋体"/>
                <w:position w:val="1"/>
                <w:szCs w:val="21"/>
              </w:rPr>
              <w:t>11</w:t>
            </w:r>
          </w:p>
        </w:tc>
        <w:tc>
          <w:tcPr>
            <w:tcW w:w="2792" w:type="dxa"/>
          </w:tcPr>
          <w:p>
            <w:pPr>
              <w:rPr>
                <w:rFonts w:ascii="宋体" w:hAnsi="宋体" w:eastAsia="宋体" w:cs="宋体"/>
              </w:rPr>
            </w:pPr>
            <w:r>
              <w:rPr>
                <w:rFonts w:hint="eastAsia" w:ascii="宋体" w:hAnsi="宋体" w:eastAsia="宋体" w:cs="宋体"/>
              </w:rPr>
              <w:t>...以上投标设备不足之处请往下添加序号自行补充</w:t>
            </w:r>
          </w:p>
        </w:tc>
        <w:tc>
          <w:tcPr>
            <w:tcW w:w="1685" w:type="dxa"/>
          </w:tcPr>
          <w:p>
            <w:pPr>
              <w:rPr>
                <w:rFonts w:ascii="Arial"/>
              </w:rPr>
            </w:pPr>
          </w:p>
        </w:tc>
        <w:tc>
          <w:tcPr>
            <w:tcW w:w="1120" w:type="dxa"/>
          </w:tcPr>
          <w:p>
            <w:pPr>
              <w:jc w:val="center"/>
              <w:rPr>
                <w:rFonts w:ascii="Arial"/>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754"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2151"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9"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rPr>
                <w:rFonts w:ascii="宋体" w:hAnsi="宋体" w:eastAsia="宋体" w:cs="宋体"/>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0" w:type="default"/>
          <w:pgSz w:w="16841" w:h="11907"/>
          <w:pgMar w:top="400" w:right="1699" w:bottom="1184" w:left="1481" w:header="0" w:footer="1022" w:gutter="0"/>
          <w:cols w:space="720" w:num="1"/>
        </w:sectPr>
      </w:pPr>
    </w:p>
    <w:p>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20" w:lineRule="exact"/>
      </w:pPr>
    </w:p>
    <w:tbl>
      <w:tblPr>
        <w:tblStyle w:val="131"/>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783" w:type="dxa"/>
          </w:tcPr>
          <w:p>
            <w:pPr>
              <w:spacing w:before="267" w:line="222"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241"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255"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699"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3668"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83" w:type="dxa"/>
          </w:tcPr>
          <w:p>
            <w:pPr>
              <w:spacing w:before="300" w:line="186" w:lineRule="auto"/>
              <w:ind w:left="443"/>
              <w:rPr>
                <w:rFonts w:ascii="宋体" w:hAnsi="宋体" w:eastAsia="宋体" w:cs="宋体"/>
                <w:szCs w:val="21"/>
              </w:rPr>
            </w:pPr>
            <w:r>
              <w:rPr>
                <w:rFonts w:ascii="宋体" w:hAnsi="宋体" w:eastAsia="宋体" w:cs="宋体"/>
                <w:szCs w:val="21"/>
              </w:rPr>
              <w:t>1</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rPr>
              <w:t>现场指导安装</w:t>
            </w:r>
          </w:p>
        </w:tc>
        <w:tc>
          <w:tcPr>
            <w:tcW w:w="1241" w:type="dxa"/>
          </w:tcPr>
          <w:p>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83" w:type="dxa"/>
          </w:tcPr>
          <w:p>
            <w:pPr>
              <w:spacing w:before="302" w:line="185" w:lineRule="auto"/>
              <w:ind w:left="430"/>
              <w:rPr>
                <w:rFonts w:ascii="宋体" w:hAnsi="宋体" w:eastAsia="宋体" w:cs="宋体"/>
                <w:szCs w:val="21"/>
              </w:rPr>
            </w:pPr>
            <w:r>
              <w:rPr>
                <w:rFonts w:ascii="宋体" w:hAnsi="宋体" w:eastAsia="宋体" w:cs="宋体"/>
                <w:szCs w:val="21"/>
              </w:rPr>
              <w:t>2</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rPr>
              <w:t>现场指导调试</w:t>
            </w:r>
          </w:p>
        </w:tc>
        <w:tc>
          <w:tcPr>
            <w:tcW w:w="1241" w:type="dxa"/>
          </w:tcPr>
          <w:p>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783" w:type="dxa"/>
          </w:tcPr>
          <w:p>
            <w:pPr>
              <w:spacing w:before="301" w:line="185" w:lineRule="auto"/>
              <w:ind w:left="427"/>
              <w:rPr>
                <w:rFonts w:ascii="宋体" w:hAnsi="宋体" w:eastAsia="宋体" w:cs="宋体"/>
                <w:szCs w:val="21"/>
              </w:rPr>
            </w:pPr>
            <w:r>
              <w:rPr>
                <w:rFonts w:hint="eastAsia" w:ascii="宋体" w:hAnsi="宋体" w:eastAsia="宋体" w:cs="宋体"/>
                <w:szCs w:val="21"/>
              </w:rPr>
              <w:t>3</w:t>
            </w:r>
          </w:p>
        </w:tc>
        <w:tc>
          <w:tcPr>
            <w:tcW w:w="3995" w:type="dxa"/>
          </w:tcPr>
          <w:p>
            <w:pPr>
              <w:spacing w:before="266" w:line="221" w:lineRule="auto"/>
              <w:jc w:val="center"/>
              <w:rPr>
                <w:rFonts w:ascii="宋体" w:hAnsi="宋体" w:eastAsia="宋体" w:cs="宋体"/>
                <w:szCs w:val="21"/>
              </w:rPr>
            </w:pPr>
            <w:r>
              <w:rPr>
                <w:rFonts w:hint="eastAsia" w:ascii="宋体" w:hAnsi="宋体" w:eastAsia="宋体" w:cs="宋体"/>
                <w:szCs w:val="21"/>
              </w:rPr>
              <w:t>现场技术支持解决技术难题</w:t>
            </w:r>
          </w:p>
        </w:tc>
        <w:tc>
          <w:tcPr>
            <w:tcW w:w="1241" w:type="dxa"/>
          </w:tcPr>
          <w:p>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783" w:type="dxa"/>
          </w:tcPr>
          <w:p>
            <w:pPr>
              <w:spacing w:before="306" w:line="182" w:lineRule="auto"/>
              <w:ind w:left="432"/>
              <w:rPr>
                <w:rFonts w:ascii="宋体" w:hAnsi="宋体" w:eastAsia="宋体" w:cs="宋体"/>
                <w:szCs w:val="21"/>
              </w:rPr>
            </w:pPr>
            <w:r>
              <w:rPr>
                <w:rFonts w:hint="eastAsia" w:ascii="宋体" w:hAnsi="宋体" w:eastAsia="宋体" w:cs="宋体"/>
                <w:szCs w:val="21"/>
              </w:rPr>
              <w:t>4</w:t>
            </w:r>
          </w:p>
        </w:tc>
        <w:tc>
          <w:tcPr>
            <w:tcW w:w="3995" w:type="dxa"/>
          </w:tcPr>
          <w:p>
            <w:pPr>
              <w:spacing w:before="268" w:line="221" w:lineRule="auto"/>
              <w:jc w:val="center"/>
              <w:rPr>
                <w:rFonts w:ascii="宋体" w:hAnsi="宋体" w:eastAsia="宋体" w:cs="宋体"/>
                <w:szCs w:val="21"/>
              </w:rPr>
            </w:pPr>
            <w:r>
              <w:rPr>
                <w:rFonts w:hint="eastAsia" w:ascii="宋体" w:hAnsi="宋体" w:eastAsia="宋体" w:cs="宋体"/>
                <w:szCs w:val="21"/>
                <w:lang w:bidi="ar"/>
              </w:rPr>
              <w:t>企业管理费</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83" w:type="dxa"/>
          </w:tcPr>
          <w:p>
            <w:pPr>
              <w:spacing w:before="306" w:line="182" w:lineRule="auto"/>
              <w:ind w:left="432"/>
              <w:rPr>
                <w:rFonts w:ascii="宋体" w:hAnsi="宋体" w:eastAsia="宋体" w:cs="宋体"/>
                <w:szCs w:val="21"/>
              </w:rPr>
            </w:pPr>
          </w:p>
        </w:tc>
        <w:tc>
          <w:tcPr>
            <w:tcW w:w="3995" w:type="dxa"/>
          </w:tcPr>
          <w:p>
            <w:pPr>
              <w:spacing w:before="268" w:line="221" w:lineRule="auto"/>
              <w:jc w:val="center"/>
              <w:rPr>
                <w:rFonts w:ascii="宋体" w:hAnsi="宋体" w:eastAsia="宋体" w:cs="宋体"/>
                <w:spacing w:val="15"/>
                <w:szCs w:val="21"/>
              </w:rPr>
            </w:pPr>
            <w:r>
              <w:rPr>
                <w:rFonts w:hint="eastAsia" w:ascii="宋体" w:hAnsi="宋体" w:eastAsia="宋体" w:cs="宋体"/>
                <w:szCs w:val="21"/>
                <w:lang w:bidi="ar"/>
              </w:rPr>
              <w:t>检验检测费</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83" w:type="dxa"/>
          </w:tcPr>
          <w:p>
            <w:pPr>
              <w:spacing w:before="306" w:line="182" w:lineRule="auto"/>
              <w:ind w:left="432"/>
              <w:rPr>
                <w:rFonts w:ascii="宋体" w:hAnsi="宋体" w:eastAsia="宋体" w:cs="宋体"/>
                <w:szCs w:val="21"/>
              </w:rPr>
            </w:pPr>
          </w:p>
        </w:tc>
        <w:tc>
          <w:tcPr>
            <w:tcW w:w="3995" w:type="dxa"/>
          </w:tcPr>
          <w:p>
            <w:pPr>
              <w:spacing w:before="268" w:line="221" w:lineRule="auto"/>
              <w:jc w:val="center"/>
              <w:rPr>
                <w:rFonts w:ascii="宋体" w:hAnsi="宋体" w:eastAsia="宋体" w:cs="宋体"/>
                <w:spacing w:val="15"/>
                <w:szCs w:val="21"/>
              </w:rPr>
            </w:pPr>
            <w:r>
              <w:rPr>
                <w:rFonts w:ascii="宋体" w:hAnsi="宋体" w:eastAsia="宋体" w:cs="宋体"/>
                <w:spacing w:val="-1"/>
                <w:szCs w:val="21"/>
              </w:rPr>
              <w:t>.......以上不足之处请往下添加序号自行补充</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78"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总价合计列入价格汇总表 1-</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241"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255"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69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66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0"/>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pPr>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20"/>
          <w:sz w:val="24"/>
          <w:szCs w:val="24"/>
          <w14:textOutline w14:w="5791" w14:cap="flat" w14:cmpd="sng" w14:algn="ctr">
            <w14:solidFill>
              <w14:srgbClr w14:val="000000"/>
            </w14:solidFill>
            <w14:prstDash w14:val="solid"/>
            <w14:miter w14:val="0"/>
          </w14:textOutline>
        </w:rPr>
        <w:t>质保</w:t>
      </w:r>
      <w:r>
        <w:rPr>
          <w:rFonts w:ascii="宋体" w:hAnsi="宋体" w:eastAsia="宋体" w:cs="宋体"/>
          <w:spacing w:val="12"/>
          <w:sz w:val="24"/>
          <w:szCs w:val="24"/>
          <w14:textOutline w14:w="5791" w14:cap="flat" w14:cmpd="sng" w14:algn="ctr">
            <w14:solidFill>
              <w14:srgbClr w14:val="000000"/>
            </w14:solidFill>
            <w14:prstDash w14:val="solid"/>
            <w14:miter w14:val="0"/>
          </w14:textOutline>
        </w:rPr>
        <w:t>期</w:t>
      </w: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内随机标准附件及易损件、备品备件、专用工具、专用检测仪器仪表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940"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770"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88"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pPr>
              <w:spacing w:before="146" w:line="211" w:lineRule="auto"/>
              <w:ind w:left="89"/>
              <w:rPr>
                <w:rFonts w:ascii="宋体" w:hAnsi="宋体" w:eastAsia="宋体" w:cs="宋体"/>
                <w:szCs w:val="21"/>
              </w:rPr>
            </w:pPr>
            <w:r>
              <w:rPr>
                <w:rFonts w:ascii="宋体" w:hAnsi="宋体" w:eastAsia="宋体" w:cs="宋体"/>
                <w:spacing w:val="4"/>
                <w:szCs w:val="21"/>
                <w14:textOutline w14:w="3835" w14:cap="flat" w14:cmpd="sng" w14:algn="ctr">
                  <w14:solidFill>
                    <w14:srgbClr w14:val="000000"/>
                  </w14:solidFill>
                  <w14:prstDash w14:val="solid"/>
                  <w14:miter w14:val="0"/>
                </w14:textOutline>
              </w:rPr>
              <w:t>序</w:t>
            </w:r>
            <w:r>
              <w:rPr>
                <w:rFonts w:ascii="宋体" w:hAnsi="宋体" w:eastAsia="宋体" w:cs="宋体"/>
                <w:spacing w:val="4"/>
                <w:szCs w:val="21"/>
              </w:rPr>
              <w:t xml:space="preserve"> </w:t>
            </w:r>
            <w:r>
              <w:rPr>
                <w:rFonts w:ascii="宋体" w:hAnsi="宋体" w:eastAsia="宋体" w:cs="宋体"/>
                <w:spacing w:val="4"/>
                <w:szCs w:val="21"/>
                <w14:textOutline w14:w="3835" w14:cap="flat" w14:cmpd="sng" w14:algn="ctr">
                  <w14:solidFill>
                    <w14:srgbClr w14:val="000000"/>
                  </w14:solidFill>
                  <w14:prstDash w14:val="solid"/>
                  <w14:miter w14:val="0"/>
                </w14:textOutline>
              </w:rPr>
              <w:t>号</w:t>
            </w:r>
          </w:p>
        </w:tc>
        <w:tc>
          <w:tcPr>
            <w:tcW w:w="2543" w:type="dxa"/>
          </w:tcPr>
          <w:p>
            <w:pPr>
              <w:spacing w:before="252" w:line="221" w:lineRule="auto"/>
              <w:ind w:left="53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ascii="宋体" w:hAnsi="宋体" w:eastAsia="宋体" w:cs="宋体"/>
                <w:szCs w:val="21"/>
                <w14:textOutline w14:w="3835" w14:cap="flat" w14:cmpd="sng" w14:algn="ctr">
                  <w14:solidFill>
                    <w14:srgbClr w14:val="000000"/>
                  </w14:solidFill>
                  <w14:prstDash w14:val="solid"/>
                  <w14:miter w14:val="0"/>
                </w14:textOutline>
              </w:rPr>
              <w:t>工具名称</w:t>
            </w:r>
          </w:p>
        </w:tc>
        <w:tc>
          <w:tcPr>
            <w:tcW w:w="2100" w:type="dxa"/>
          </w:tcPr>
          <w:p>
            <w:pPr>
              <w:spacing w:before="252" w:line="221" w:lineRule="auto"/>
              <w:ind w:left="534"/>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tcPr>
          <w:p>
            <w:pPr>
              <w:spacing w:before="252" w:line="221" w:lineRule="auto"/>
              <w:ind w:left="215"/>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1940" w:type="dxa"/>
          </w:tcPr>
          <w:p>
            <w:pPr>
              <w:spacing w:before="89" w:line="327" w:lineRule="exact"/>
              <w:ind w:left="708"/>
              <w:rPr>
                <w:rFonts w:ascii="宋体" w:hAnsi="宋体" w:eastAsia="宋体" w:cs="宋体"/>
                <w:szCs w:val="21"/>
              </w:rPr>
            </w:pP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原产地</w:t>
            </w:r>
            <w:r>
              <w:rPr>
                <w:rFonts w:ascii="宋体" w:hAnsi="宋体" w:eastAsia="宋体" w:cs="宋体"/>
                <w:spacing w:val="-1"/>
                <w:position w:val="8"/>
                <w:szCs w:val="21"/>
                <w14:textOutline w14:w="3835" w14:cap="flat" w14:cmpd="sng" w14:algn="ctr">
                  <w14:solidFill>
                    <w14:srgbClr w14:val="000000"/>
                  </w14:solidFill>
                  <w14:prstDash w14:val="solid"/>
                  <w14:miter w14:val="0"/>
                </w14:textOutline>
              </w:rPr>
              <w:t>和</w:t>
            </w:r>
          </w:p>
          <w:p>
            <w:pPr>
              <w:spacing w:line="221" w:lineRule="auto"/>
              <w:ind w:left="59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ascii="宋体" w:hAnsi="宋体" w:eastAsia="宋体" w:cs="宋体"/>
                <w:szCs w:val="21"/>
                <w14:textOutline w14:w="3835" w14:cap="flat" w14:cmpd="sng" w14:algn="ctr">
                  <w14:solidFill>
                    <w14:srgbClr w14:val="000000"/>
                  </w14:solidFill>
                  <w14:prstDash w14:val="solid"/>
                  <w14:miter w14:val="0"/>
                </w14:textOutline>
              </w:rPr>
              <w:t>名称</w:t>
            </w:r>
          </w:p>
        </w:tc>
        <w:tc>
          <w:tcPr>
            <w:tcW w:w="1770" w:type="dxa"/>
          </w:tcPr>
          <w:p>
            <w:pPr>
              <w:spacing w:before="90" w:line="219"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7" w:line="221" w:lineRule="auto"/>
              <w:ind w:firstLine="712" w:firstLineChars="400"/>
              <w:rPr>
                <w:rFonts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1888" w:type="dxa"/>
          </w:tcPr>
          <w:p>
            <w:pPr>
              <w:spacing w:before="90" w:line="219" w:lineRule="auto"/>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ascii="宋体" w:hAnsi="宋体" w:eastAsia="宋体" w:cs="宋体"/>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7" w:line="221" w:lineRule="auto"/>
              <w:ind w:left="747"/>
              <w:rPr>
                <w:rFonts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120" w:type="dxa"/>
          </w:tcPr>
          <w:p>
            <w:pPr>
              <w:spacing w:before="89" w:line="327" w:lineRule="exact"/>
              <w:ind w:left="360"/>
              <w:rPr>
                <w:rFonts w:ascii="宋体" w:hAnsi="宋体" w:eastAsia="宋体" w:cs="宋体"/>
                <w:szCs w:val="21"/>
              </w:rPr>
            </w:pPr>
            <w:r>
              <w:rPr>
                <w:rFonts w:ascii="宋体" w:hAnsi="宋体" w:eastAsia="宋体" w:cs="宋体"/>
                <w:spacing w:val="-3"/>
                <w:position w:val="8"/>
                <w:szCs w:val="21"/>
                <w14:textOutline w14:w="3835" w14:cap="flat" w14:cmpd="sng" w14:algn="ctr">
                  <w14:solidFill>
                    <w14:srgbClr w14:val="000000"/>
                  </w14:solidFill>
                  <w14:prstDash w14:val="solid"/>
                  <w14:miter w14:val="0"/>
                </w14:textOutline>
              </w:rPr>
              <w:t>更</w:t>
            </w: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换</w:t>
            </w:r>
          </w:p>
          <w:p>
            <w:pPr>
              <w:spacing w:line="221" w:lineRule="auto"/>
              <w:ind w:left="358"/>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周期</w:t>
            </w:r>
          </w:p>
        </w:tc>
        <w:tc>
          <w:tcPr>
            <w:tcW w:w="1125" w:type="dxa"/>
          </w:tcPr>
          <w:p>
            <w:pPr>
              <w:spacing w:before="253" w:line="222" w:lineRule="auto"/>
              <w:ind w:left="252"/>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vAlign w:val="center"/>
          </w:tcPr>
          <w:p>
            <w:pPr>
              <w:pStyle w:val="128"/>
              <w:spacing w:before="60" w:after="60"/>
              <w:jc w:val="center"/>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vAlign w:val="center"/>
          </w:tcPr>
          <w:p>
            <w:pPr>
              <w:pStyle w:val="128"/>
              <w:spacing w:before="60" w:after="60"/>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vAlign w:val="center"/>
          </w:tcPr>
          <w:p>
            <w:pPr>
              <w:pStyle w:val="128"/>
              <w:spacing w:before="60" w:after="60"/>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vAlign w:val="center"/>
          </w:tcPr>
          <w:p>
            <w:pPr>
              <w:pStyle w:val="128"/>
              <w:spacing w:before="60" w:after="60"/>
              <w:rPr>
                <w:rFonts w:ascii="宋体" w:hAnsi="宋体" w:eastAsia="宋体" w:cs="宋体"/>
                <w:szCs w:val="21"/>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 1-</w:t>
            </w:r>
            <w:r>
              <w:rPr>
                <w:rFonts w:hint="eastAsia" w:ascii="宋体" w:hAnsi="宋体" w:eastAsia="宋体" w:cs="宋体"/>
                <w:spacing w:val="-4"/>
                <w:szCs w:val="21"/>
              </w:rPr>
              <w:t>5</w:t>
            </w:r>
          </w:p>
        </w:tc>
        <w:tc>
          <w:tcPr>
            <w:tcW w:w="4133" w:type="dxa"/>
            <w:gridSpan w:val="3"/>
          </w:tcPr>
          <w:p>
            <w:pPr>
              <w:spacing w:before="207" w:line="219" w:lineRule="auto"/>
              <w:ind w:firstLine="630" w:firstLineChars="300"/>
              <w:rPr>
                <w:rFonts w:ascii="宋体" w:hAnsi="宋体" w:eastAsia="宋体" w:cs="宋体"/>
                <w:szCs w:val="21"/>
              </w:rPr>
            </w:pPr>
            <w:r>
              <w:rPr>
                <w:rFonts w:ascii="宋体" w:hAnsi="宋体" w:eastAsia="宋体" w:cs="宋体"/>
                <w:szCs w:val="21"/>
              </w:rPr>
              <w:t>总价合计</w:t>
            </w:r>
            <w:r>
              <w:rPr>
                <w:rFonts w:hint="eastAsia" w:ascii="宋体" w:hAnsi="宋体" w:eastAsia="宋体" w:cs="宋体"/>
                <w:szCs w:val="21"/>
              </w:rPr>
              <w:t>（不含税）</w:t>
            </w:r>
            <w:r>
              <w:rPr>
                <w:rFonts w:ascii="宋体" w:hAnsi="宋体" w:eastAsia="宋体" w:cs="宋体"/>
                <w:szCs w:val="21"/>
              </w:rPr>
              <w:t>￥    元</w:t>
            </w:r>
          </w:p>
        </w:tc>
      </w:tr>
    </w:tbl>
    <w:p>
      <w:pPr>
        <w:spacing w:before="69" w:line="219" w:lineRule="auto"/>
        <w:rPr>
          <w:rFonts w:ascii="宋体" w:hAnsi="宋体" w:eastAsia="宋体" w:cs="宋体"/>
          <w:spacing w:val="-3"/>
          <w:szCs w:val="21"/>
        </w:rPr>
      </w:pPr>
    </w:p>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2" w:type="default"/>
          <w:pgSz w:w="16841" w:h="11907"/>
          <w:pgMar w:top="400" w:right="1500" w:bottom="1184" w:left="1480" w:header="0" w:footer="1022" w:gutter="0"/>
          <w:cols w:space="720" w:num="1"/>
        </w:sectPr>
      </w:pPr>
    </w:p>
    <w:p>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hint="eastAsia" w:ascii="Times New Roman" w:hAnsi="Times New Roman" w:eastAsia="宋体" w:cs="Times New Roman"/>
                <w:spacing w:val="-6"/>
                <w:szCs w:val="21"/>
              </w:rPr>
              <w:t>-</w:t>
            </w:r>
            <w:r>
              <w:rPr>
                <w:rFonts w:ascii="Times New Roman" w:hAnsi="Times New Roman" w:eastAsia="Times New Roman" w:cs="Times New Roman"/>
                <w:spacing w:val="-11"/>
                <w:szCs w:val="21"/>
              </w:rPr>
              <w:t xml:space="preserve">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hint="eastAsia" w:ascii="宋体" w:hAnsi="宋体" w:eastAsia="宋体" w:cs="宋体"/>
                <w:szCs w:val="21"/>
              </w:rPr>
              <w:t>5</w:t>
            </w:r>
          </w:p>
        </w:tc>
        <w:tc>
          <w:tcPr>
            <w:tcW w:w="5765" w:type="dxa"/>
          </w:tcPr>
          <w:p>
            <w:pPr>
              <w:spacing w:before="265" w:line="222" w:lineRule="auto"/>
              <w:ind w:left="2378" w:firstLine="188" w:firstLineChars="100"/>
              <w:rPr>
                <w:rFonts w:ascii="宋体" w:hAnsi="宋体" w:eastAsia="宋体" w:cs="宋体"/>
                <w:spacing w:val="-11"/>
                <w:szCs w:val="21"/>
              </w:rPr>
            </w:pP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0"/>
      </w:pPr>
    </w:p>
    <w:p>
      <w:pPr>
        <w:pStyle w:val="20"/>
      </w:pP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sectPr>
          <w:footerReference r:id="rId33" w:type="default"/>
          <w:pgSz w:w="16841" w:h="11907"/>
          <w:pgMar w:top="400" w:right="1699" w:bottom="1168" w:left="1481" w:header="0" w:footer="990" w:gutter="0"/>
          <w:cols w:equalWidth="0" w:num="1">
            <w:col w:w="13660"/>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rPr>
          <w:rFonts w:ascii="宋体" w:hAnsi="宋体" w:cs="宋体"/>
          <w:szCs w:val="24"/>
        </w:rPr>
      </w:pPr>
    </w:p>
    <w:p>
      <w:pPr>
        <w:rPr>
          <w:rFonts w:ascii="宋体" w:hAnsi="宋体" w:eastAsia="宋体" w:cs="宋体"/>
          <w:sz w:val="24"/>
          <w:szCs w:val="24"/>
        </w:rPr>
      </w:pPr>
    </w:p>
    <w:p>
      <w:pPr>
        <w:rPr>
          <w:rFonts w:ascii="宋体" w:hAnsi="宋体" w:cs="宋体"/>
          <w:szCs w:val="24"/>
        </w:rPr>
      </w:pPr>
    </w:p>
    <w:p/>
    <w:p/>
    <w:p/>
    <w:p/>
    <w:p>
      <w:pPr>
        <w:tabs>
          <w:tab w:val="left" w:pos="1511"/>
        </w:tabs>
        <w:jc w:val="left"/>
        <w:rPr>
          <w:b/>
          <w:bCs/>
        </w:rPr>
        <w:sectPr>
          <w:footerReference r:id="rId34" w:type="default"/>
          <w:pgSz w:w="11906" w:h="16839"/>
          <w:pgMar w:top="1431" w:right="1417" w:bottom="1179" w:left="1304" w:header="850" w:footer="992" w:gutter="0"/>
          <w:cols w:space="720" w:num="1"/>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rPr>
          <w:rFonts w:ascii="宋体" w:hAnsi="Calibri" w:cs="宋体"/>
          <w:color w:val="000000"/>
          <w:sz w:val="28"/>
          <w:szCs w:val="20"/>
        </w:rPr>
      </w:pPr>
    </w:p>
    <w:p>
      <w:pPr>
        <w:rPr>
          <w:rFonts w:ascii="宋体" w:hAnsi="Calibri" w:eastAsia="宋体" w:cs="宋体"/>
          <w:b/>
          <w:bCs/>
          <w:color w:val="000000"/>
          <w:sz w:val="28"/>
          <w:szCs w:val="20"/>
        </w:rPr>
      </w:pPr>
    </w:p>
    <w:p>
      <w:pPr>
        <w:rPr>
          <w:rFonts w:ascii="宋体" w:hAnsi="Calibri" w:cs="宋体"/>
          <w:color w:val="000000"/>
          <w:sz w:val="28"/>
          <w:szCs w:val="20"/>
        </w:rPr>
      </w:pPr>
    </w:p>
    <w:p>
      <w:pPr>
        <w:rPr>
          <w:rFonts w:ascii="宋体" w:hAnsi="Calibri" w:eastAsia="宋体" w:cs="宋体"/>
          <w:b/>
          <w:bCs/>
          <w:color w:val="000000"/>
          <w:sz w:val="28"/>
          <w:szCs w:val="20"/>
        </w:rPr>
      </w:pPr>
    </w:p>
    <w:p>
      <w:pPr>
        <w:outlineLvl w:val="2"/>
        <w:rPr>
          <w:rFonts w:hint="eastAsia" w:ascii="Times New Roman" w:hAnsi="Times New Roman" w:eastAsia="宋体" w:cs="Times New Roman"/>
          <w:b/>
          <w:bCs/>
          <w:color w:val="000000"/>
          <w:sz w:val="24"/>
          <w:szCs w:val="24"/>
        </w:rPr>
        <w:sectPr>
          <w:pgSz w:w="11906" w:h="16839"/>
          <w:pgMar w:top="1431" w:right="1417" w:bottom="1179" w:left="1304" w:header="850" w:footer="992" w:gutter="0"/>
          <w:cols w:space="720" w:num="1"/>
        </w:sectPr>
      </w:pPr>
    </w:p>
    <w:p>
      <w:pPr>
        <w:outlineLvl w:val="2"/>
        <w:rPr>
          <w:rFonts w:ascii="Calibri" w:hAnsi="Calibri" w:eastAsia="宋体" w:cs="Times New Roman"/>
          <w:szCs w:val="20"/>
        </w:rPr>
      </w:pP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Times New Roman"/>
                <w:b/>
                <w:bCs/>
                <w:color w:val="000000"/>
                <w:sz w:val="24"/>
                <w:szCs w:val="24"/>
                <w:u w:val="single"/>
                <w:lang w:val="en-US" w:eastAsia="zh-CN"/>
              </w:rPr>
              <w:t>桌面HIL台架</w:t>
            </w:r>
            <w:r>
              <w:rPr>
                <w:rFonts w:hint="eastAsia" w:ascii="宋体" w:hAnsi="宋体" w:eastAsia="宋体" w:cs="Times New Roman"/>
                <w:b/>
                <w:bCs/>
                <w:color w:val="000000"/>
                <w:sz w:val="24"/>
                <w:szCs w:val="24"/>
                <w:u w:val="single"/>
              </w:rPr>
              <w:t>招标项目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0"/>
      </w:pPr>
    </w:p>
    <w:p/>
    <w:p>
      <w:pPr>
        <w:pStyle w:val="20"/>
        <w:rPr>
          <w:rFonts w:hAnsi="Calibri" w:eastAsia="宋体" w:cs="宋体"/>
          <w:b/>
          <w:bCs/>
          <w:color w:val="000000"/>
          <w:sz w:val="28"/>
          <w:szCs w:val="20"/>
        </w:rPr>
      </w:pPr>
    </w:p>
    <w:p>
      <w:pPr>
        <w:pStyle w:val="2"/>
        <w:sectPr>
          <w:pgSz w:w="11906" w:h="16839"/>
          <w:pgMar w:top="1431" w:right="1417" w:bottom="1179" w:left="1304" w:header="850" w:footer="992" w:gutter="0"/>
          <w:cols w:space="720" w:num="1"/>
        </w:sectPr>
      </w:pPr>
    </w:p>
    <w:p/>
    <w:p>
      <w:pPr>
        <w:jc w:val="cente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  技术</w:t>
      </w:r>
      <w:r>
        <w:rPr>
          <w:rFonts w:hint="eastAsia" w:ascii="Times New Roman" w:hAnsi="Times New Roman" w:eastAsia="宋体" w:cs="Times New Roman"/>
          <w:b/>
          <w:bCs/>
          <w:color w:val="000000"/>
          <w:sz w:val="24"/>
          <w:szCs w:val="24"/>
          <w:lang w:val="en-US" w:eastAsia="zh-CN"/>
        </w:rPr>
        <w:t>标评审</w:t>
      </w:r>
      <w:r>
        <w:rPr>
          <w:rFonts w:hint="eastAsia" w:ascii="Times New Roman" w:hAnsi="Times New Roman" w:eastAsia="宋体" w:cs="Times New Roman"/>
          <w:b/>
          <w:bCs/>
          <w:color w:val="000000"/>
          <w:sz w:val="24"/>
          <w:szCs w:val="24"/>
        </w:rPr>
        <w:t>表（</w:t>
      </w:r>
      <w:r>
        <w:rPr>
          <w:rFonts w:hint="eastAsia" w:ascii="Times New Roman" w:hAnsi="Times New Roman" w:eastAsia="宋体" w:cs="Times New Roman"/>
          <w:b/>
          <w:bCs/>
          <w:color w:val="000000"/>
          <w:sz w:val="24"/>
          <w:szCs w:val="24"/>
          <w:lang w:val="en-US" w:eastAsia="zh-CN"/>
        </w:rPr>
        <w:t>5</w:t>
      </w:r>
      <w:r>
        <w:rPr>
          <w:rFonts w:hint="eastAsia" w:ascii="Times New Roman" w:hAnsi="Times New Roman" w:eastAsia="宋体" w:cs="Times New Roman"/>
          <w:b/>
          <w:bCs/>
          <w:color w:val="000000"/>
          <w:sz w:val="24"/>
          <w:szCs w:val="24"/>
        </w:rPr>
        <w:t>0分）</w:t>
      </w:r>
    </w:p>
    <w:tbl>
      <w:tblPr>
        <w:tblStyle w:val="39"/>
        <w:tblW w:w="13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50"/>
        <w:gridCol w:w="533"/>
        <w:gridCol w:w="3100"/>
        <w:gridCol w:w="817"/>
        <w:gridCol w:w="7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Align w:val="center"/>
          </w:tcPr>
          <w:p>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评价类型</w:t>
            </w:r>
          </w:p>
        </w:tc>
        <w:tc>
          <w:tcPr>
            <w:tcW w:w="750" w:type="dxa"/>
            <w:vAlign w:val="center"/>
          </w:tcPr>
          <w:p>
            <w:pPr>
              <w:tabs>
                <w:tab w:val="left" w:pos="13965"/>
              </w:tabs>
              <w:spacing w:line="360" w:lineRule="auto"/>
              <w:ind w:right="-6"/>
              <w:jc w:val="center"/>
              <w:rPr>
                <w:rFonts w:hint="eastAsia"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t>评审内容</w:t>
            </w:r>
          </w:p>
        </w:tc>
        <w:tc>
          <w:tcPr>
            <w:tcW w:w="533" w:type="dxa"/>
            <w:vAlign w:val="center"/>
          </w:tcPr>
          <w:p>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序号</w:t>
            </w:r>
          </w:p>
        </w:tc>
        <w:tc>
          <w:tcPr>
            <w:tcW w:w="3100" w:type="dxa"/>
            <w:vAlign w:val="center"/>
          </w:tcPr>
          <w:p>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内</w:t>
            </w:r>
            <w:r>
              <w:rPr>
                <w:rFonts w:ascii="宋体" w:hAnsi="宋体" w:eastAsia="宋体" w:cs="Times New Roman"/>
                <w:b/>
                <w:sz w:val="24"/>
                <w:szCs w:val="24"/>
                <w:highlight w:val="none"/>
              </w:rPr>
              <w:t xml:space="preserve">   </w:t>
            </w:r>
            <w:r>
              <w:rPr>
                <w:rFonts w:hint="eastAsia" w:ascii="宋体" w:hAnsi="宋体" w:eastAsia="宋体" w:cs="Times New Roman"/>
                <w:b/>
                <w:sz w:val="24"/>
                <w:szCs w:val="24"/>
                <w:highlight w:val="none"/>
              </w:rPr>
              <w:t>容</w:t>
            </w:r>
          </w:p>
        </w:tc>
        <w:tc>
          <w:tcPr>
            <w:tcW w:w="817" w:type="dxa"/>
            <w:vAlign w:val="center"/>
          </w:tcPr>
          <w:p>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标准分</w:t>
            </w:r>
          </w:p>
        </w:tc>
        <w:tc>
          <w:tcPr>
            <w:tcW w:w="7781" w:type="dxa"/>
            <w:vAlign w:val="center"/>
          </w:tcPr>
          <w:p>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Merge w:val="restart"/>
            <w:vAlign w:val="center"/>
          </w:tcPr>
          <w:p>
            <w:pPr>
              <w:tabs>
                <w:tab w:val="left" w:pos="13965"/>
              </w:tabs>
              <w:spacing w:line="240" w:lineRule="auto"/>
              <w:ind w:right="-6"/>
              <w:jc w:val="center"/>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技术</w:t>
            </w:r>
          </w:p>
          <w:p>
            <w:pPr>
              <w:tabs>
                <w:tab w:val="left" w:pos="13965"/>
              </w:tabs>
              <w:spacing w:line="240" w:lineRule="auto"/>
              <w:ind w:right="-6"/>
              <w:jc w:val="center"/>
              <w:rPr>
                <w:rFonts w:ascii="宋体" w:hAnsi="Times New Roman" w:eastAsia="宋体" w:cs="Times New Roman"/>
                <w:sz w:val="24"/>
                <w:szCs w:val="24"/>
                <w:highlight w:val="none"/>
              </w:rPr>
            </w:pPr>
            <w:r>
              <w:rPr>
                <w:rFonts w:hint="eastAsia" w:ascii="宋体" w:hAnsi="宋体" w:eastAsia="宋体" w:cs="Times New Roman"/>
                <w:sz w:val="24"/>
                <w:szCs w:val="24"/>
                <w:highlight w:val="none"/>
                <w:lang w:val="en-US" w:eastAsia="zh-CN"/>
              </w:rPr>
              <w:t>10</w:t>
            </w:r>
            <w:r>
              <w:rPr>
                <w:rFonts w:ascii="宋体" w:hAnsi="宋体" w:eastAsia="宋体" w:cs="Times New Roman"/>
                <w:sz w:val="24"/>
                <w:szCs w:val="24"/>
                <w:highlight w:val="none"/>
              </w:rPr>
              <w:t>0</w:t>
            </w:r>
            <w:r>
              <w:rPr>
                <w:rFonts w:hint="eastAsia" w:ascii="宋体" w:hAnsi="宋体" w:eastAsia="宋体" w:cs="Times New Roman"/>
                <w:sz w:val="24"/>
                <w:szCs w:val="24"/>
                <w:highlight w:val="none"/>
              </w:rPr>
              <w:t>分</w:t>
            </w:r>
          </w:p>
        </w:tc>
        <w:tc>
          <w:tcPr>
            <w:tcW w:w="750" w:type="dxa"/>
            <w:vAlign w:val="center"/>
          </w:tcPr>
          <w:p>
            <w:pPr>
              <w:tabs>
                <w:tab w:val="left" w:pos="13965"/>
              </w:tabs>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业绩</w:t>
            </w:r>
          </w:p>
        </w:tc>
        <w:tc>
          <w:tcPr>
            <w:tcW w:w="533" w:type="dxa"/>
            <w:vAlign w:val="center"/>
          </w:tcPr>
          <w:p>
            <w:pPr>
              <w:tabs>
                <w:tab w:val="left" w:pos="13965"/>
              </w:tabs>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1</w:t>
            </w:r>
          </w:p>
        </w:tc>
        <w:tc>
          <w:tcPr>
            <w:tcW w:w="3100" w:type="dxa"/>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设备制造商同类型项目业绩</w:t>
            </w:r>
          </w:p>
        </w:tc>
        <w:tc>
          <w:tcPr>
            <w:tcW w:w="817" w:type="dxa"/>
            <w:vAlign w:val="center"/>
          </w:tcPr>
          <w:p>
            <w:pPr>
              <w:tabs>
                <w:tab w:val="left" w:pos="13965"/>
              </w:tabs>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3</w:t>
            </w:r>
          </w:p>
        </w:tc>
        <w:tc>
          <w:tcPr>
            <w:tcW w:w="7781" w:type="dxa"/>
            <w:vAlign w:val="center"/>
          </w:tcPr>
          <w:p>
            <w:pPr>
              <w:spacing w:line="240" w:lineRule="auto"/>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6</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分（时间以签订日期为准）。</w:t>
            </w:r>
          </w:p>
          <w:p>
            <w:pPr>
              <w:spacing w:line="240" w:lineRule="auto"/>
              <w:rPr>
                <w:highlight w:val="none"/>
              </w:rPr>
            </w:pPr>
            <w:r>
              <w:rPr>
                <w:rFonts w:hint="eastAsia" w:ascii="宋体" w:hAnsi="宋体" w:eastAsia="宋体" w:cs="Times New Roman"/>
                <w:bCs/>
                <w:sz w:val="24"/>
                <w:szCs w:val="24"/>
                <w:highlight w:val="none"/>
              </w:rPr>
              <w:t>投标人在2019年1月1日以来在中国与本标同类规格产品的业绩，以合同复印件加盖公章为准（须有客户联系方式及联系人以供招标人核实确认）。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pPr>
              <w:spacing w:line="240" w:lineRule="auto"/>
              <w:jc w:val="center"/>
              <w:rPr>
                <w:rFonts w:ascii="宋体" w:hAnsi="Times New Roman" w:eastAsia="宋体" w:cs="Times New Roman"/>
                <w:sz w:val="24"/>
                <w:szCs w:val="24"/>
                <w:highlight w:val="none"/>
              </w:rPr>
            </w:pPr>
          </w:p>
        </w:tc>
        <w:tc>
          <w:tcPr>
            <w:tcW w:w="750" w:type="dxa"/>
            <w:vMerge w:val="restart"/>
            <w:vAlign w:val="center"/>
          </w:tcPr>
          <w:p>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产品技术</w:t>
            </w:r>
          </w:p>
        </w:tc>
        <w:tc>
          <w:tcPr>
            <w:tcW w:w="533"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2</w:t>
            </w:r>
          </w:p>
        </w:tc>
        <w:tc>
          <w:tcPr>
            <w:tcW w:w="3100"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设备制造商装备制造能力、生产设备、加工工艺、完善程度</w:t>
            </w:r>
          </w:p>
        </w:tc>
        <w:tc>
          <w:tcPr>
            <w:tcW w:w="817" w:type="dxa"/>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3</w:t>
            </w:r>
          </w:p>
        </w:tc>
        <w:tc>
          <w:tcPr>
            <w:tcW w:w="7781" w:type="dxa"/>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6</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分，一般得</w:t>
            </w:r>
            <w:r>
              <w:rPr>
                <w:rFonts w:hint="eastAsia" w:ascii="宋体" w:hAnsi="Times New Roman" w:eastAsia="宋体" w:cs="Times New Roman"/>
                <w:bCs/>
                <w:sz w:val="24"/>
                <w:szCs w:val="24"/>
                <w:highlight w:val="none"/>
                <w:lang w:val="en-US" w:eastAsia="zh-CN"/>
              </w:rPr>
              <w:t>2</w:t>
            </w:r>
            <w:r>
              <w:rPr>
                <w:rFonts w:hint="eastAsia" w:ascii="宋体" w:hAnsi="宋体" w:eastAsia="宋体" w:cs="Times New Roman"/>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pPr>
              <w:spacing w:line="240" w:lineRule="auto"/>
              <w:jc w:val="center"/>
              <w:rPr>
                <w:rFonts w:ascii="宋体" w:hAnsi="Times New Roman" w:eastAsia="宋体" w:cs="Times New Roman"/>
                <w:sz w:val="24"/>
                <w:szCs w:val="24"/>
                <w:highlight w:val="none"/>
              </w:rPr>
            </w:pPr>
          </w:p>
        </w:tc>
        <w:tc>
          <w:tcPr>
            <w:tcW w:w="750" w:type="dxa"/>
            <w:vMerge w:val="continue"/>
            <w:vAlign w:val="center"/>
          </w:tcPr>
          <w:p>
            <w:pPr>
              <w:spacing w:line="240" w:lineRule="auto"/>
              <w:jc w:val="center"/>
              <w:rPr>
                <w:rFonts w:ascii="宋体" w:hAnsi="宋体" w:eastAsia="宋体" w:cs="Times New Roman"/>
                <w:sz w:val="24"/>
                <w:szCs w:val="24"/>
                <w:highlight w:val="none"/>
              </w:rPr>
            </w:pPr>
          </w:p>
        </w:tc>
        <w:tc>
          <w:tcPr>
            <w:tcW w:w="533" w:type="dxa"/>
            <w:vAlign w:val="center"/>
          </w:tcPr>
          <w:p>
            <w:pPr>
              <w:spacing w:line="240" w:lineRule="auto"/>
              <w:jc w:val="center"/>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sz w:val="24"/>
                <w:szCs w:val="24"/>
                <w:highlight w:val="none"/>
                <w:lang w:val="en-US" w:eastAsia="zh-CN"/>
              </w:rPr>
              <w:t>3</w:t>
            </w:r>
          </w:p>
        </w:tc>
        <w:tc>
          <w:tcPr>
            <w:tcW w:w="3100" w:type="dxa"/>
            <w:vAlign w:val="center"/>
          </w:tcPr>
          <w:p>
            <w:pPr>
              <w:spacing w:line="240" w:lineRule="auto"/>
              <w:rPr>
                <w:rFonts w:hint="eastAsia" w:ascii="宋体" w:hAnsi="Times New Roman" w:eastAsia="宋体" w:cs="Times New Roman"/>
                <w:bCs/>
                <w:kern w:val="2"/>
                <w:sz w:val="24"/>
                <w:szCs w:val="24"/>
                <w:highlight w:val="none"/>
                <w:lang w:val="en-US" w:eastAsia="zh-CN" w:bidi="ar-SA"/>
              </w:rPr>
            </w:pPr>
            <w:r>
              <w:rPr>
                <w:rFonts w:hint="eastAsia" w:ascii="宋体" w:hAnsi="宋体" w:eastAsia="宋体" w:cs="Times New Roman"/>
                <w:bCs/>
                <w:sz w:val="24"/>
                <w:szCs w:val="24"/>
                <w:highlight w:val="none"/>
              </w:rPr>
              <w:t>产品方案技术先进、各系统完善、性能可靠，设备主要核心部件，具备自身技术优势</w:t>
            </w:r>
          </w:p>
        </w:tc>
        <w:tc>
          <w:tcPr>
            <w:tcW w:w="817" w:type="dxa"/>
            <w:vAlign w:val="center"/>
          </w:tcPr>
          <w:p>
            <w:pPr>
              <w:spacing w:line="240" w:lineRule="auto"/>
              <w:jc w:val="center"/>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sz w:val="24"/>
                <w:szCs w:val="24"/>
                <w:highlight w:val="none"/>
                <w:lang w:val="en-US" w:eastAsia="zh-CN"/>
              </w:rPr>
              <w:t>25</w:t>
            </w:r>
          </w:p>
        </w:tc>
        <w:tc>
          <w:tcPr>
            <w:tcW w:w="7781" w:type="dxa"/>
            <w:vAlign w:val="center"/>
          </w:tcPr>
          <w:p>
            <w:pPr>
              <w:spacing w:line="24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以下各项由评标委员会成员独立进行客观、公正的评价打分。</w:t>
            </w:r>
            <w:r>
              <w:rPr>
                <w:rFonts w:ascii="宋体" w:hAnsi="宋体" w:eastAsia="宋体" w:cs="Times New Roman"/>
                <w:sz w:val="24"/>
                <w:szCs w:val="24"/>
                <w:highlight w:val="none"/>
              </w:rPr>
              <w:t xml:space="preserve"> </w:t>
            </w:r>
          </w:p>
          <w:p>
            <w:pPr>
              <w:numPr>
                <w:ilvl w:val="0"/>
                <w:numId w:val="0"/>
              </w:numPr>
              <w:spacing w:line="240" w:lineRule="auto"/>
              <w:ind w:leftChars="0"/>
              <w:rPr>
                <w:rFonts w:ascii="宋体" w:hAnsi="Times New Roman" w:eastAsia="宋体" w:cs="Times New Roman"/>
                <w:sz w:val="24"/>
                <w:szCs w:val="24"/>
                <w:highlight w:val="none"/>
              </w:rPr>
            </w:pPr>
            <w:r>
              <w:rPr>
                <w:rFonts w:hint="eastAsia" w:ascii="宋体" w:hAnsi="宋体" w:eastAsia="宋体" w:cs="Times New Roman"/>
                <w:bCs/>
                <w:sz w:val="24"/>
                <w:szCs w:val="24"/>
                <w:highlight w:val="none"/>
                <w:lang w:val="en-US" w:eastAsia="zh-CN"/>
              </w:rPr>
              <w:t>①</w:t>
            </w:r>
            <w:r>
              <w:rPr>
                <w:rFonts w:hint="eastAsia" w:ascii="宋体" w:hAnsi="宋体" w:eastAsia="宋体" w:cs="Times New Roman"/>
                <w:bCs/>
                <w:sz w:val="24"/>
                <w:szCs w:val="24"/>
                <w:highlight w:val="none"/>
              </w:rPr>
              <w:t>定制系统方案已到达招标要求，设备主要核心部件，具备自身技术优势，打分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16</w:t>
            </w:r>
            <w:r>
              <w:rPr>
                <w:rFonts w:hint="eastAsia" w:ascii="宋体" w:hAnsi="宋体" w:eastAsia="宋体" w:cs="Times New Roman"/>
                <w:bCs/>
                <w:sz w:val="24"/>
                <w:szCs w:val="24"/>
                <w:highlight w:val="none"/>
              </w:rPr>
              <w:t>分。</w:t>
            </w:r>
          </w:p>
          <w:p>
            <w:pPr>
              <w:numPr>
                <w:ilvl w:val="0"/>
                <w:numId w:val="0"/>
              </w:numPr>
              <w:spacing w:line="240" w:lineRule="auto"/>
              <w:ind w:leftChars="0"/>
              <w:rPr>
                <w:rFonts w:ascii="宋体" w:hAnsi="Times New Roman" w:eastAsia="宋体" w:cs="Times New Roman"/>
                <w:sz w:val="24"/>
                <w:szCs w:val="24"/>
                <w:highlight w:val="none"/>
              </w:rPr>
            </w:pPr>
            <w:r>
              <w:rPr>
                <w:rFonts w:hint="eastAsia" w:ascii="宋体" w:hAnsi="宋体" w:eastAsia="宋体" w:cs="Times New Roman"/>
                <w:bCs/>
                <w:sz w:val="24"/>
                <w:szCs w:val="24"/>
                <w:highlight w:val="none"/>
                <w:lang w:val="en-US" w:eastAsia="zh-CN"/>
              </w:rPr>
              <w:t>②</w:t>
            </w:r>
            <w:r>
              <w:rPr>
                <w:rFonts w:hint="eastAsia" w:ascii="宋体" w:hAnsi="宋体" w:eastAsia="宋体" w:cs="Times New Roman"/>
                <w:bCs/>
                <w:sz w:val="24"/>
                <w:szCs w:val="24"/>
                <w:highlight w:val="none"/>
              </w:rPr>
              <w:t>系统配置齐全，其精度、参数、技术水平、可靠性等优势明显，打分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16</w:t>
            </w:r>
            <w:r>
              <w:rPr>
                <w:rFonts w:hint="eastAsia" w:ascii="宋体" w:hAnsi="宋体" w:eastAsia="宋体" w:cs="Times New Roman"/>
                <w:bCs/>
                <w:sz w:val="24"/>
                <w:szCs w:val="24"/>
                <w:highlight w:val="none"/>
              </w:rPr>
              <w:t>分</w:t>
            </w:r>
            <w:r>
              <w:rPr>
                <w:rFonts w:hint="eastAsia" w:ascii="宋体" w:hAnsi="宋体" w:eastAsia="宋体" w:cs="Times New Roman"/>
                <w:sz w:val="24"/>
                <w:szCs w:val="24"/>
                <w:highlight w:val="none"/>
              </w:rPr>
              <w:t>。</w:t>
            </w:r>
          </w:p>
          <w:p>
            <w:pPr>
              <w:numPr>
                <w:ilvl w:val="0"/>
                <w:numId w:val="0"/>
              </w:numPr>
              <w:spacing w:line="240" w:lineRule="auto"/>
              <w:ind w:leftChars="0"/>
              <w:rPr>
                <w:rFonts w:ascii="宋体" w:hAnsi="Times New Roman" w:eastAsia="宋体" w:cs="Times New Roman"/>
                <w:sz w:val="24"/>
                <w:szCs w:val="24"/>
                <w:highlight w:val="none"/>
              </w:rPr>
            </w:pPr>
            <w:r>
              <w:rPr>
                <w:rFonts w:hint="eastAsia" w:ascii="宋体" w:hAnsi="宋体" w:eastAsia="宋体" w:cs="Times New Roman"/>
                <w:sz w:val="24"/>
                <w:szCs w:val="24"/>
                <w:highlight w:val="none"/>
                <w:lang w:val="en-US" w:eastAsia="zh-CN"/>
              </w:rPr>
              <w:t>③</w:t>
            </w:r>
            <w:r>
              <w:rPr>
                <w:rFonts w:hint="eastAsia" w:ascii="宋体" w:hAnsi="宋体" w:eastAsia="宋体" w:cs="Times New Roman"/>
                <w:sz w:val="24"/>
                <w:szCs w:val="24"/>
                <w:highlight w:val="none"/>
              </w:rPr>
              <w:t>操作灵活方便，系统开放程度高，</w:t>
            </w:r>
            <w:r>
              <w:rPr>
                <w:rFonts w:hint="eastAsia" w:ascii="宋体" w:hAnsi="宋体" w:eastAsia="宋体" w:cs="Times New Roman"/>
                <w:bCs/>
                <w:sz w:val="24"/>
                <w:szCs w:val="24"/>
                <w:highlight w:val="none"/>
              </w:rPr>
              <w:t>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10</w:t>
            </w:r>
            <w:r>
              <w:rPr>
                <w:rFonts w:hint="eastAsia" w:ascii="宋体" w:hAnsi="宋体" w:eastAsia="宋体" w:cs="Times New Roman"/>
                <w:bCs/>
                <w:sz w:val="24"/>
                <w:szCs w:val="24"/>
                <w:highlight w:val="none"/>
              </w:rPr>
              <w:t>分</w:t>
            </w:r>
            <w:r>
              <w:rPr>
                <w:rFonts w:hint="eastAsia" w:ascii="宋体" w:hAnsi="宋体" w:eastAsia="宋体" w:cs="Times New Roman"/>
                <w:sz w:val="24"/>
                <w:szCs w:val="24"/>
                <w:highlight w:val="none"/>
              </w:rPr>
              <w:t>。</w:t>
            </w:r>
          </w:p>
          <w:p>
            <w:pPr>
              <w:numPr>
                <w:ilvl w:val="0"/>
                <w:numId w:val="0"/>
              </w:numPr>
              <w:spacing w:line="240" w:lineRule="auto"/>
              <w:ind w:leftChars="0"/>
              <w:rPr>
                <w:rFonts w:hint="eastAsia" w:ascii="宋体" w:hAnsi="Times New Roman" w:eastAsia="宋体" w:cs="Times New Roman"/>
                <w:kern w:val="2"/>
                <w:sz w:val="24"/>
                <w:szCs w:val="24"/>
                <w:highlight w:val="none"/>
                <w:lang w:val="en-US" w:eastAsia="zh-CN" w:bidi="ar-SA"/>
              </w:rPr>
            </w:pPr>
            <w:r>
              <w:rPr>
                <w:rFonts w:hint="eastAsia" w:ascii="宋体" w:hAnsi="宋体" w:eastAsia="宋体" w:cs="Times New Roman"/>
                <w:sz w:val="24"/>
                <w:szCs w:val="24"/>
                <w:highlight w:val="none"/>
                <w:lang w:val="en-US" w:eastAsia="zh-CN"/>
              </w:rPr>
              <w:t>④</w:t>
            </w:r>
            <w:r>
              <w:rPr>
                <w:rFonts w:hint="eastAsia" w:ascii="宋体" w:hAnsi="宋体" w:eastAsia="宋体" w:cs="Times New Roman"/>
                <w:sz w:val="24"/>
                <w:szCs w:val="24"/>
                <w:highlight w:val="none"/>
              </w:rPr>
              <w:t>综合评价，</w:t>
            </w:r>
            <w:r>
              <w:rPr>
                <w:rFonts w:hint="eastAsia" w:ascii="宋体" w:hAnsi="宋体" w:eastAsia="宋体" w:cs="Times New Roman"/>
                <w:bCs/>
                <w:sz w:val="24"/>
                <w:szCs w:val="24"/>
                <w:highlight w:val="none"/>
              </w:rPr>
              <w:t>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8</w:t>
            </w:r>
            <w:r>
              <w:rPr>
                <w:rFonts w:hint="eastAsia" w:ascii="宋体" w:hAnsi="宋体" w:eastAsia="宋体" w:cs="Times New Roman"/>
                <w:bCs/>
                <w:sz w:val="24"/>
                <w:szCs w:val="24"/>
                <w:highlight w:val="none"/>
              </w:rPr>
              <w:t>分</w:t>
            </w:r>
            <w:r>
              <w:rPr>
                <w:rFonts w:hint="eastAsia" w:ascii="宋体" w:hAnsi="宋体" w:eastAsia="宋体" w:cs="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pPr>
              <w:spacing w:line="240" w:lineRule="auto"/>
              <w:jc w:val="center"/>
              <w:rPr>
                <w:rFonts w:ascii="宋体" w:hAnsi="Times New Roman" w:eastAsia="宋体" w:cs="Times New Roman"/>
                <w:sz w:val="24"/>
                <w:szCs w:val="24"/>
                <w:highlight w:val="none"/>
              </w:rPr>
            </w:pPr>
          </w:p>
        </w:tc>
        <w:tc>
          <w:tcPr>
            <w:tcW w:w="750" w:type="dxa"/>
            <w:vAlign w:val="center"/>
          </w:tcPr>
          <w:p>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答疑</w:t>
            </w:r>
          </w:p>
        </w:tc>
        <w:tc>
          <w:tcPr>
            <w:tcW w:w="533" w:type="dxa"/>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4</w:t>
            </w:r>
          </w:p>
        </w:tc>
        <w:tc>
          <w:tcPr>
            <w:tcW w:w="3100"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现场答疑</w:t>
            </w:r>
          </w:p>
        </w:tc>
        <w:tc>
          <w:tcPr>
            <w:tcW w:w="817" w:type="dxa"/>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4</w:t>
            </w:r>
          </w:p>
        </w:tc>
        <w:tc>
          <w:tcPr>
            <w:tcW w:w="7781"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sz w:val="24"/>
                <w:szCs w:val="24"/>
                <w:highlight w:val="none"/>
              </w:rPr>
              <w:t>投标人代表对方案、技术优势的讲解，以及就该项目难点回答评标专家现场提问，打分0-</w:t>
            </w:r>
            <w:r>
              <w:rPr>
                <w:rFonts w:hint="eastAsia" w:ascii="宋体" w:hAnsi="宋体" w:eastAsia="宋体" w:cs="Times New Roman"/>
                <w:sz w:val="24"/>
                <w:szCs w:val="24"/>
                <w:highlight w:val="none"/>
                <w:lang w:val="en-US" w:eastAsia="zh-CN"/>
              </w:rPr>
              <w:t>8</w:t>
            </w:r>
            <w:r>
              <w:rPr>
                <w:rFonts w:hint="eastAsia" w:ascii="宋体" w:hAnsi="宋体" w:eastAsia="宋体" w:cs="Times New Roman"/>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730" w:type="dxa"/>
            <w:vMerge w:val="continue"/>
            <w:vAlign w:val="center"/>
          </w:tcPr>
          <w:p>
            <w:pPr>
              <w:spacing w:line="240" w:lineRule="auto"/>
              <w:jc w:val="center"/>
              <w:rPr>
                <w:rFonts w:ascii="宋体" w:hAnsi="Times New Roman" w:eastAsia="宋体" w:cs="Times New Roman"/>
                <w:sz w:val="24"/>
                <w:szCs w:val="24"/>
              </w:rPr>
            </w:pPr>
          </w:p>
        </w:tc>
        <w:tc>
          <w:tcPr>
            <w:tcW w:w="750" w:type="dxa"/>
            <w:vAlign w:val="center"/>
          </w:tcPr>
          <w:p>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技术偏离</w:t>
            </w:r>
          </w:p>
        </w:tc>
        <w:tc>
          <w:tcPr>
            <w:tcW w:w="533"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5</w:t>
            </w:r>
          </w:p>
        </w:tc>
        <w:tc>
          <w:tcPr>
            <w:tcW w:w="3100" w:type="dxa"/>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技术偏离</w:t>
            </w:r>
          </w:p>
        </w:tc>
        <w:tc>
          <w:tcPr>
            <w:tcW w:w="817" w:type="dxa"/>
            <w:vAlign w:val="center"/>
          </w:tcPr>
          <w:p>
            <w:pPr>
              <w:spacing w:line="240" w:lineRule="auto"/>
              <w:jc w:val="center"/>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6</w:t>
            </w:r>
          </w:p>
        </w:tc>
        <w:tc>
          <w:tcPr>
            <w:tcW w:w="7781" w:type="dxa"/>
            <w:vAlign w:val="center"/>
          </w:tcPr>
          <w:p>
            <w:pPr>
              <w:spacing w:line="240" w:lineRule="auto"/>
              <w:jc w:val="left"/>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由评标委员会成员独立进行客观、公正的评价，根据各</w:t>
            </w:r>
            <w:r>
              <w:rPr>
                <w:rFonts w:hint="eastAsia" w:ascii="宋体" w:hAnsi="宋体" w:eastAsia="宋体" w:cs="Times New Roman"/>
                <w:bCs/>
                <w:sz w:val="24"/>
                <w:szCs w:val="24"/>
                <w:highlight w:val="none"/>
                <w:lang w:eastAsia="zh-CN"/>
              </w:rPr>
              <w:t>投标人</w:t>
            </w:r>
            <w:r>
              <w:rPr>
                <w:rFonts w:hint="eastAsia" w:ascii="宋体" w:hAnsi="宋体" w:eastAsia="宋体" w:cs="Times New Roman"/>
                <w:bCs/>
                <w:sz w:val="24"/>
                <w:szCs w:val="24"/>
                <w:highlight w:val="none"/>
              </w:rPr>
              <w:t>的核心产品的配置参数、技术偏离情况，在满足我司技术基本要求的前提下偏离，无偏离得满分</w:t>
            </w:r>
            <w:r>
              <w:rPr>
                <w:rFonts w:hint="eastAsia" w:ascii="宋体" w:hAnsi="宋体" w:eastAsia="宋体" w:cs="Times New Roman"/>
                <w:bCs/>
                <w:sz w:val="24"/>
                <w:szCs w:val="24"/>
                <w:highlight w:val="none"/>
                <w:lang w:val="en-US" w:eastAsia="zh-CN"/>
              </w:rPr>
              <w:t>12</w:t>
            </w:r>
            <w:r>
              <w:rPr>
                <w:rFonts w:hint="eastAsia" w:ascii="宋体" w:hAnsi="宋体" w:eastAsia="宋体" w:cs="Times New Roman"/>
                <w:bCs/>
                <w:sz w:val="24"/>
                <w:szCs w:val="24"/>
                <w:highlight w:val="none"/>
              </w:rPr>
              <w:t>分，较大偏离每一项扣</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分，一般偏离每一项扣</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分，最低</w:t>
            </w:r>
            <w:r>
              <w:rPr>
                <w:rFonts w:ascii="宋体" w:hAnsi="Times New Roman" w:eastAsia="宋体" w:cs="Times New Roman"/>
                <w:bCs/>
                <w:sz w:val="24"/>
                <w:szCs w:val="24"/>
                <w:highlight w:val="none"/>
              </w:rPr>
              <w:t>0</w:t>
            </w:r>
            <w:r>
              <w:rPr>
                <w:rFonts w:hint="eastAsia" w:ascii="宋体" w:hAnsi="宋体" w:eastAsia="宋体" w:cs="Times New Roman"/>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pPr>
              <w:spacing w:line="240" w:lineRule="auto"/>
              <w:jc w:val="center"/>
              <w:rPr>
                <w:rFonts w:ascii="宋体" w:hAnsi="Times New Roman" w:eastAsia="宋体" w:cs="Times New Roman"/>
                <w:sz w:val="24"/>
                <w:szCs w:val="24"/>
              </w:rPr>
            </w:pPr>
          </w:p>
        </w:tc>
        <w:tc>
          <w:tcPr>
            <w:tcW w:w="750" w:type="dxa"/>
            <w:vMerge w:val="restart"/>
            <w:vAlign w:val="center"/>
          </w:tcPr>
          <w:p>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售后服务</w:t>
            </w:r>
          </w:p>
        </w:tc>
        <w:tc>
          <w:tcPr>
            <w:tcW w:w="533"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6</w:t>
            </w:r>
          </w:p>
        </w:tc>
        <w:tc>
          <w:tcPr>
            <w:tcW w:w="3100" w:type="dxa"/>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技术培训方案：对采购方人员的技术培训方案安排科学、合理、可行</w:t>
            </w:r>
          </w:p>
        </w:tc>
        <w:tc>
          <w:tcPr>
            <w:tcW w:w="817" w:type="dxa"/>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3</w:t>
            </w:r>
          </w:p>
        </w:tc>
        <w:tc>
          <w:tcPr>
            <w:tcW w:w="7781"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6</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pPr>
              <w:spacing w:line="240" w:lineRule="auto"/>
              <w:jc w:val="center"/>
              <w:rPr>
                <w:rFonts w:ascii="宋体" w:hAnsi="Times New Roman" w:eastAsia="宋体" w:cs="Times New Roman"/>
                <w:sz w:val="24"/>
                <w:szCs w:val="24"/>
              </w:rPr>
            </w:pPr>
          </w:p>
        </w:tc>
        <w:tc>
          <w:tcPr>
            <w:tcW w:w="750" w:type="dxa"/>
            <w:vMerge w:val="continue"/>
            <w:vAlign w:val="center"/>
          </w:tcPr>
          <w:p>
            <w:pPr>
              <w:spacing w:line="240" w:lineRule="auto"/>
              <w:jc w:val="center"/>
              <w:rPr>
                <w:rFonts w:ascii="宋体" w:hAnsi="宋体" w:eastAsia="宋体" w:cs="Times New Roman"/>
                <w:sz w:val="24"/>
                <w:szCs w:val="24"/>
                <w:highlight w:val="none"/>
              </w:rPr>
            </w:pPr>
          </w:p>
        </w:tc>
        <w:tc>
          <w:tcPr>
            <w:tcW w:w="533"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7</w:t>
            </w:r>
          </w:p>
        </w:tc>
        <w:tc>
          <w:tcPr>
            <w:tcW w:w="3100" w:type="dxa"/>
            <w:shd w:val="clear" w:color="auto" w:fill="auto"/>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投标人在中国有常驻的专业技术力量的维保机构并具有实施本项目维保的专业技术人员：</w:t>
            </w:r>
          </w:p>
        </w:tc>
        <w:tc>
          <w:tcPr>
            <w:tcW w:w="817" w:type="dxa"/>
            <w:shd w:val="clear" w:color="auto" w:fill="auto"/>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bCs/>
                <w:sz w:val="24"/>
                <w:szCs w:val="24"/>
                <w:highlight w:val="none"/>
                <w:lang w:val="en-US" w:eastAsia="zh-CN"/>
              </w:rPr>
              <w:t>3</w:t>
            </w:r>
          </w:p>
        </w:tc>
        <w:tc>
          <w:tcPr>
            <w:tcW w:w="7781" w:type="dxa"/>
            <w:shd w:val="clear" w:color="auto" w:fill="auto"/>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6</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pPr>
              <w:spacing w:line="240" w:lineRule="auto"/>
              <w:jc w:val="center"/>
              <w:rPr>
                <w:rFonts w:ascii="宋体" w:hAnsi="Times New Roman" w:eastAsia="宋体" w:cs="Times New Roman"/>
                <w:sz w:val="24"/>
                <w:szCs w:val="24"/>
              </w:rPr>
            </w:pPr>
          </w:p>
        </w:tc>
        <w:tc>
          <w:tcPr>
            <w:tcW w:w="750" w:type="dxa"/>
            <w:vMerge w:val="continue"/>
            <w:vAlign w:val="center"/>
          </w:tcPr>
          <w:p>
            <w:pPr>
              <w:spacing w:line="240" w:lineRule="auto"/>
              <w:jc w:val="center"/>
              <w:rPr>
                <w:rFonts w:ascii="宋体" w:hAnsi="宋体" w:eastAsia="宋体" w:cs="Times New Roman"/>
                <w:sz w:val="24"/>
                <w:szCs w:val="24"/>
                <w:highlight w:val="none"/>
              </w:rPr>
            </w:pPr>
          </w:p>
        </w:tc>
        <w:tc>
          <w:tcPr>
            <w:tcW w:w="533"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8</w:t>
            </w:r>
          </w:p>
        </w:tc>
        <w:tc>
          <w:tcPr>
            <w:tcW w:w="3100" w:type="dxa"/>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售后服务及时周到，有相应的服务承诺和具体的保证措施</w:t>
            </w:r>
          </w:p>
        </w:tc>
        <w:tc>
          <w:tcPr>
            <w:tcW w:w="817" w:type="dxa"/>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3</w:t>
            </w:r>
          </w:p>
        </w:tc>
        <w:tc>
          <w:tcPr>
            <w:tcW w:w="7781"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6</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w:t>
            </w:r>
          </w:p>
        </w:tc>
      </w:tr>
    </w:tbl>
    <w:p>
      <w:pPr>
        <w:pStyle w:val="20"/>
        <w:rPr>
          <w:rFonts w:hAnsi="宋体" w:eastAsia="宋体" w:cs="Times New Roman"/>
          <w:b/>
          <w:color w:val="000000"/>
          <w:sz w:val="24"/>
          <w:szCs w:val="24"/>
        </w:rPr>
      </w:pPr>
    </w:p>
    <w:p>
      <w:pPr>
        <w:rPr>
          <w:rFonts w:ascii="宋体" w:hAnsi="宋体"/>
          <w:szCs w:val="24"/>
        </w:rPr>
      </w:pPr>
    </w:p>
    <w:p>
      <w:pPr>
        <w:rPr>
          <w:rFonts w:ascii="宋体" w:hAnsi="宋体" w:eastAsia="宋体" w:cs="Times New Roman"/>
          <w:b/>
          <w:bCs/>
          <w:sz w:val="24"/>
          <w:szCs w:val="24"/>
        </w:rPr>
      </w:pPr>
    </w:p>
    <w:p>
      <w:pPr>
        <w:pStyle w:val="2"/>
        <w:sectPr>
          <w:headerReference r:id="rId36" w:type="first"/>
          <w:footerReference r:id="rId38" w:type="first"/>
          <w:headerReference r:id="rId35" w:type="default"/>
          <w:footerReference r:id="rId37" w:type="default"/>
          <w:pgSz w:w="16838" w:h="11906" w:orient="landscape"/>
          <w:pgMar w:top="1418" w:right="1588" w:bottom="1418" w:left="1134" w:header="851" w:footer="992" w:gutter="0"/>
          <w:cols w:space="720" w:num="1"/>
          <w:titlePg/>
          <w:docGrid w:type="lines" w:linePitch="312" w:charSpace="0"/>
        </w:sectPr>
      </w:pPr>
    </w:p>
    <w:p>
      <w:pPr>
        <w:pStyle w:val="20"/>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5"/>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6"/>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7"/>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8"/>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ascii="宋体" w:hAnsi="宋体" w:eastAsia="宋体" w:cs="宋体"/>
          <w:color w:val="000000"/>
        </w:rPr>
      </w:pPr>
    </w:p>
    <w:p>
      <w: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9"/>
                    <a:stretch>
                      <a:fillRect/>
                    </a:stretch>
                  </pic:blipFill>
                  <pic:spPr>
                    <a:xfrm>
                      <a:off x="0" y="0"/>
                      <a:ext cx="5760085" cy="2810122"/>
                    </a:xfrm>
                    <a:prstGeom prst="rect">
                      <a:avLst/>
                    </a:prstGeom>
                  </pic:spPr>
                </pic:pic>
              </a:graphicData>
            </a:graphic>
          </wp:inline>
        </w:drawing>
      </w:r>
    </w:p>
    <w:p>
      <w:pPr>
        <w:pStyle w:val="20"/>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0"/>
                    <a:stretch>
                      <a:fillRect/>
                    </a:stretch>
                  </pic:blipFill>
                  <pic:spPr>
                    <a:xfrm>
                      <a:off x="0" y="0"/>
                      <a:ext cx="5760085" cy="2820042"/>
                    </a:xfrm>
                    <a:prstGeom prst="rect">
                      <a:avLst/>
                    </a:prstGeom>
                  </pic:spPr>
                </pic:pic>
              </a:graphicData>
            </a:graphic>
          </wp:inline>
        </w:drawing>
      </w:r>
    </w:p>
    <w:p>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http://ecaitong.sinotruk.com:8012/</w:t>
      </w:r>
      <w:r>
        <w:rPr>
          <w:rStyle w:val="47"/>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初始密码：@2025</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1"/>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2"/>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pPr>
        <w:rPr>
          <w:rFonts w:eastAsia="Arial" w:cs="Arial"/>
          <w:color w:val="000000"/>
        </w:rPr>
      </w:pPr>
      <w:r>
        <w:rPr>
          <w:rFonts w:eastAsia="Arial" w:cs="Arial"/>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3"/>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4"/>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rPr>
          <w:rFonts w:eastAsia="Arial" w:cs="Arial"/>
          <w:color w:val="000000"/>
        </w:rPr>
      </w:pPr>
      <w:r>
        <w:rPr>
          <w:rFonts w:eastAsia="Arial" w:cs="Arial"/>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5"/>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6"/>
                    <a:stretch>
                      <a:fillRect/>
                    </a:stretch>
                  </pic:blipFill>
                  <pic:spPr>
                    <a:xfrm>
                      <a:off x="0" y="0"/>
                      <a:ext cx="5760085" cy="1956600"/>
                    </a:xfrm>
                    <a:prstGeom prst="rect">
                      <a:avLst/>
                    </a:prstGeom>
                  </pic:spPr>
                </pic:pic>
              </a:graphicData>
            </a:graphic>
          </wp:inline>
        </w:drawing>
      </w:r>
    </w:p>
    <w:p>
      <w:pPr>
        <w:pStyle w:val="20"/>
        <w:rPr>
          <w:rFonts w:hAnsi="宋体" w:eastAsia="宋体" w:cs="Times New Roman"/>
          <w:b/>
          <w:color w:val="000000"/>
          <w:sz w:val="24"/>
          <w:szCs w:val="24"/>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sectPr>
      <w:headerReference r:id="rId40" w:type="first"/>
      <w:footerReference r:id="rId42" w:type="first"/>
      <w:headerReference r:id="rId39" w:type="default"/>
      <w:footerReference r:id="rId41"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MiSans Demibold">
    <w:altName w:val="宋体"/>
    <w:panose1 w:val="00000000000000000000"/>
    <w:charset w:val="86"/>
    <w:family w:val="auto"/>
    <w:pitch w:val="default"/>
    <w:sig w:usb0="00000000" w:usb1="00000000"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方正小标宋简体">
    <w:altName w:val="黑体"/>
    <w:panose1 w:val="03000509000000000000"/>
    <w:charset w:val="86"/>
    <w:family w:val="script"/>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Wingdings">
    <w:panose1 w:val="05000000000000000000"/>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sU1ctAgAAV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wsU1c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FVW4t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qb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KFVW4tAgAAWQ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- 25 -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- 25 -</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Z4pM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m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tniky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5lnQ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DmWdC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uik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JmuiktAgAAWQ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DmE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D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n/DmEtAgAAWQ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Ijw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egIjwtAgAAWQ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Vts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UBW2y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feoY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sfeoYtAgAAWQ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613B56"/>
    <w:multiLevelType w:val="singleLevel"/>
    <w:tmpl w:val="C5613B56"/>
    <w:lvl w:ilvl="0" w:tentative="0">
      <w:start w:val="2"/>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51"/>
      <w:lvlText w:val="%1.%2.%3."/>
      <w:lvlJc w:val="left"/>
      <w:pPr>
        <w:ind w:left="709" w:hanging="709"/>
      </w:pPr>
    </w:lvl>
    <w:lvl w:ilvl="3" w:tentative="0">
      <w:start w:val="1"/>
      <w:numFmt w:val="decimal"/>
      <w:pStyle w:val="150"/>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62A16E3"/>
    <w:multiLevelType w:val="multilevel"/>
    <w:tmpl w:val="062A16E3"/>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08001359"/>
    <w:multiLevelType w:val="multilevel"/>
    <w:tmpl w:val="08001359"/>
    <w:lvl w:ilvl="0" w:tentative="0">
      <w:start w:val="1"/>
      <w:numFmt w:val="bullet"/>
      <w:lvlText w:val=""/>
      <w:lvlJc w:val="left"/>
      <w:pPr>
        <w:ind w:left="900" w:hanging="420"/>
      </w:pPr>
      <w:rPr>
        <w:rFonts w:hint="default" w:ascii="Wingdings" w:hAnsi="Wingdings"/>
      </w:r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09274864"/>
    <w:multiLevelType w:val="multilevel"/>
    <w:tmpl w:val="09274864"/>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BDD5532"/>
    <w:multiLevelType w:val="multilevel"/>
    <w:tmpl w:val="0BDD553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0E795969"/>
    <w:multiLevelType w:val="multilevel"/>
    <w:tmpl w:val="0E795969"/>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165A389B"/>
    <w:multiLevelType w:val="multilevel"/>
    <w:tmpl w:val="165A389B"/>
    <w:lvl w:ilvl="0" w:tentative="0">
      <w:start w:val="1"/>
      <w:numFmt w:val="bullet"/>
      <w:lvlText w:val=""/>
      <w:lvlJc w:val="left"/>
      <w:pPr>
        <w:ind w:left="900" w:hanging="420"/>
      </w:pPr>
      <w:rPr>
        <w:rFonts w:hint="default" w:ascii="Wingdings" w:hAnsi="Wingdings"/>
      </w:r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16F56D45"/>
    <w:multiLevelType w:val="multilevel"/>
    <w:tmpl w:val="16F56D45"/>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18176923"/>
    <w:multiLevelType w:val="multilevel"/>
    <w:tmpl w:val="18176923"/>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198F25D8"/>
    <w:multiLevelType w:val="multilevel"/>
    <w:tmpl w:val="198F25D8"/>
    <w:lvl w:ilvl="0" w:tentative="0">
      <w:start w:val="1"/>
      <w:numFmt w:val="bullet"/>
      <w:lvlText w:val=""/>
      <w:lvlJc w:val="left"/>
      <w:pPr>
        <w:ind w:left="900" w:hanging="420"/>
      </w:pPr>
      <w:rPr>
        <w:rFonts w:hint="default" w:ascii="Wingdings" w:hAnsi="Wingdings"/>
      </w:r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5">
    <w:nsid w:val="24F33877"/>
    <w:multiLevelType w:val="multilevel"/>
    <w:tmpl w:val="24F33877"/>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269B4CC2"/>
    <w:multiLevelType w:val="multilevel"/>
    <w:tmpl w:val="269B4CC2"/>
    <w:lvl w:ilvl="0" w:tentative="0">
      <w:start w:val="1"/>
      <w:numFmt w:val="decimal"/>
      <w:pStyle w:val="141"/>
      <w:suff w:val="space"/>
      <w:lvlText w:val="%1."/>
      <w:lvlJc w:val="left"/>
      <w:pPr>
        <w:ind w:left="567" w:hanging="425"/>
      </w:pPr>
      <w:rPr>
        <w:rFonts w:hint="eastAsia"/>
      </w:rPr>
    </w:lvl>
    <w:lvl w:ilvl="1" w:tentative="0">
      <w:start w:val="1"/>
      <w:numFmt w:val="decimal"/>
      <w:pStyle w:val="142"/>
      <w:suff w:val="space"/>
      <w:lvlText w:val="%1.%2."/>
      <w:lvlJc w:val="left"/>
      <w:pPr>
        <w:ind w:left="425" w:hanging="425"/>
      </w:pPr>
      <w:rPr>
        <w:rFonts w:hint="eastAsia"/>
      </w:rPr>
    </w:lvl>
    <w:lvl w:ilvl="2" w:tentative="0">
      <w:start w:val="1"/>
      <w:numFmt w:val="decimal"/>
      <w:pStyle w:val="143"/>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17">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49"/>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9">
    <w:nsid w:val="316B25C8"/>
    <w:multiLevelType w:val="multilevel"/>
    <w:tmpl w:val="316B25C8"/>
    <w:lvl w:ilvl="0" w:tentative="0">
      <w:start w:val="1"/>
      <w:numFmt w:val="bullet"/>
      <w:lvlText w:val=""/>
      <w:lvlJc w:val="left"/>
      <w:pPr>
        <w:ind w:left="900" w:hanging="420"/>
      </w:pPr>
      <w:rPr>
        <w:rFonts w:hint="default" w:ascii="Wingdings" w:hAnsi="Wingdings"/>
      </w:r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38136D92"/>
    <w:multiLevelType w:val="multilevel"/>
    <w:tmpl w:val="38136D92"/>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3C0A0F21"/>
    <w:multiLevelType w:val="multilevel"/>
    <w:tmpl w:val="3C0A0F21"/>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3E766EBB"/>
    <w:multiLevelType w:val="multilevel"/>
    <w:tmpl w:val="3E766EBB"/>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3F932BF2"/>
    <w:multiLevelType w:val="multilevel"/>
    <w:tmpl w:val="3F932BF2"/>
    <w:lvl w:ilvl="0" w:tentative="0">
      <w:start w:val="1"/>
      <w:numFmt w:val="bullet"/>
      <w:lvlText w:val=""/>
      <w:lvlJc w:val="left"/>
      <w:pPr>
        <w:ind w:left="900" w:hanging="420"/>
      </w:pPr>
      <w:rPr>
        <w:rFonts w:hint="default" w:ascii="Wingdings" w:hAnsi="Wingdings"/>
      </w:rPr>
    </w:lvl>
    <w:lvl w:ilvl="1" w:tentative="0">
      <w:start w:val="1"/>
      <w:numFmt w:val="bullet"/>
      <w:pStyle w:val="145"/>
      <w:lvlText w:val=""/>
      <w:lvlJc w:val="left"/>
      <w:pPr>
        <w:ind w:left="920" w:hanging="44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4">
    <w:nsid w:val="40FB31F1"/>
    <w:multiLevelType w:val="multilevel"/>
    <w:tmpl w:val="40FB31F1"/>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2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26">
    <w:nsid w:val="49725DCB"/>
    <w:multiLevelType w:val="multilevel"/>
    <w:tmpl w:val="49725DC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4C144F71"/>
    <w:multiLevelType w:val="multilevel"/>
    <w:tmpl w:val="4C144F71"/>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508E1376"/>
    <w:multiLevelType w:val="multilevel"/>
    <w:tmpl w:val="508E1376"/>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54CA215B"/>
    <w:multiLevelType w:val="multilevel"/>
    <w:tmpl w:val="54CA215B"/>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578C4D10"/>
    <w:multiLevelType w:val="multilevel"/>
    <w:tmpl w:val="578C4D10"/>
    <w:lvl w:ilvl="0" w:tentative="0">
      <w:start w:val="1"/>
      <w:numFmt w:val="bullet"/>
      <w:lvlText w:val=""/>
      <w:lvlJc w:val="left"/>
      <w:pPr>
        <w:ind w:left="900" w:hanging="420"/>
      </w:pPr>
      <w:rPr>
        <w:rFonts w:hint="default" w:ascii="Wingdings" w:hAnsi="Wingdings"/>
      </w:rPr>
    </w:lvl>
    <w:lvl w:ilvl="1" w:tentative="0">
      <w:start w:val="1"/>
      <w:numFmt w:val="decimal"/>
      <w:lvlText w:val="%2）"/>
      <w:lvlJc w:val="left"/>
      <w:pPr>
        <w:ind w:left="1680" w:hanging="7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5C206EAE"/>
    <w:multiLevelType w:val="multilevel"/>
    <w:tmpl w:val="5C206EAE"/>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62483373"/>
    <w:multiLevelType w:val="multilevel"/>
    <w:tmpl w:val="62483373"/>
    <w:lvl w:ilvl="0" w:tentative="0">
      <w:start w:val="1"/>
      <w:numFmt w:val="decimal"/>
      <w:lvlText w:val="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4">
    <w:nsid w:val="696634B8"/>
    <w:multiLevelType w:val="multilevel"/>
    <w:tmpl w:val="696634B8"/>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6E8C6948"/>
    <w:multiLevelType w:val="singleLevel"/>
    <w:tmpl w:val="6E8C6948"/>
    <w:lvl w:ilvl="0" w:tentative="0">
      <w:start w:val="1"/>
      <w:numFmt w:val="chineseCounting"/>
      <w:suff w:val="space"/>
      <w:lvlText w:val="第%1部分"/>
      <w:lvlJc w:val="left"/>
      <w:rPr>
        <w:rFonts w:hint="eastAsia"/>
      </w:rPr>
    </w:lvl>
  </w:abstractNum>
  <w:abstractNum w:abstractNumId="36">
    <w:nsid w:val="771945E6"/>
    <w:multiLevelType w:val="multilevel"/>
    <w:tmpl w:val="771945E6"/>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7850A900"/>
    <w:multiLevelType w:val="singleLevel"/>
    <w:tmpl w:val="7850A900"/>
    <w:lvl w:ilvl="0" w:tentative="0">
      <w:start w:val="2"/>
      <w:numFmt w:val="decimal"/>
      <w:suff w:val="nothing"/>
      <w:lvlText w:val="%1）"/>
      <w:lvlJc w:val="left"/>
    </w:lvl>
  </w:abstractNum>
  <w:abstractNum w:abstractNumId="38">
    <w:nsid w:val="7BDB546E"/>
    <w:multiLevelType w:val="multilevel"/>
    <w:tmpl w:val="7BDB546E"/>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33"/>
  </w:num>
  <w:num w:numId="2">
    <w:abstractNumId w:val="16"/>
  </w:num>
  <w:num w:numId="3">
    <w:abstractNumId w:val="23"/>
  </w:num>
  <w:num w:numId="4">
    <w:abstractNumId w:val="17"/>
  </w:num>
  <w:num w:numId="5">
    <w:abstractNumId w:val="3"/>
  </w:num>
  <w:num w:numId="6">
    <w:abstractNumId w:val="35"/>
  </w:num>
  <w:num w:numId="7">
    <w:abstractNumId w:val="0"/>
  </w:num>
  <w:num w:numId="8">
    <w:abstractNumId w:val="1"/>
  </w:num>
  <w:num w:numId="9">
    <w:abstractNumId w:val="14"/>
  </w:num>
  <w:num w:numId="10">
    <w:abstractNumId w:val="4"/>
  </w:num>
  <w:num w:numId="11">
    <w:abstractNumId w:val="25"/>
  </w:num>
  <w:num w:numId="12">
    <w:abstractNumId w:val="2"/>
  </w:num>
  <w:num w:numId="13">
    <w:abstractNumId w:val="18"/>
  </w:num>
  <w:num w:numId="14">
    <w:abstractNumId w:val="37"/>
  </w:num>
  <w:num w:numId="15">
    <w:abstractNumId w:val="30"/>
  </w:num>
  <w:num w:numId="16">
    <w:abstractNumId w:val="19"/>
  </w:num>
  <w:num w:numId="17">
    <w:abstractNumId w:val="13"/>
  </w:num>
  <w:num w:numId="18">
    <w:abstractNumId w:val="6"/>
  </w:num>
  <w:num w:numId="19">
    <w:abstractNumId w:val="10"/>
  </w:num>
  <w:num w:numId="20">
    <w:abstractNumId w:val="24"/>
  </w:num>
  <w:num w:numId="21">
    <w:abstractNumId w:val="20"/>
  </w:num>
  <w:num w:numId="22">
    <w:abstractNumId w:val="34"/>
  </w:num>
  <w:num w:numId="23">
    <w:abstractNumId w:val="7"/>
  </w:num>
  <w:num w:numId="24">
    <w:abstractNumId w:val="11"/>
  </w:num>
  <w:num w:numId="25">
    <w:abstractNumId w:val="9"/>
  </w:num>
  <w:num w:numId="26">
    <w:abstractNumId w:val="5"/>
  </w:num>
  <w:num w:numId="27">
    <w:abstractNumId w:val="28"/>
  </w:num>
  <w:num w:numId="28">
    <w:abstractNumId w:val="31"/>
  </w:num>
  <w:num w:numId="29">
    <w:abstractNumId w:val="12"/>
  </w:num>
  <w:num w:numId="30">
    <w:abstractNumId w:val="15"/>
  </w:num>
  <w:num w:numId="31">
    <w:abstractNumId w:val="36"/>
  </w:num>
  <w:num w:numId="32">
    <w:abstractNumId w:val="27"/>
  </w:num>
  <w:num w:numId="33">
    <w:abstractNumId w:val="29"/>
  </w:num>
  <w:num w:numId="34">
    <w:abstractNumId w:val="26"/>
  </w:num>
  <w:num w:numId="35">
    <w:abstractNumId w:val="8"/>
  </w:num>
  <w:num w:numId="36">
    <w:abstractNumId w:val="38"/>
  </w:num>
  <w:num w:numId="37">
    <w:abstractNumId w:val="22"/>
  </w:num>
  <w:num w:numId="38">
    <w:abstractNumId w:val="21"/>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5F05"/>
    <w:rsid w:val="00036836"/>
    <w:rsid w:val="0005777A"/>
    <w:rsid w:val="00064DB8"/>
    <w:rsid w:val="00065382"/>
    <w:rsid w:val="00080223"/>
    <w:rsid w:val="00097119"/>
    <w:rsid w:val="000A5309"/>
    <w:rsid w:val="000B289A"/>
    <w:rsid w:val="000C4B52"/>
    <w:rsid w:val="000D6A51"/>
    <w:rsid w:val="000E0B43"/>
    <w:rsid w:val="000F45A3"/>
    <w:rsid w:val="000F7D80"/>
    <w:rsid w:val="00106095"/>
    <w:rsid w:val="00110222"/>
    <w:rsid w:val="00112D34"/>
    <w:rsid w:val="00126689"/>
    <w:rsid w:val="00137DB7"/>
    <w:rsid w:val="00140DE4"/>
    <w:rsid w:val="001536C7"/>
    <w:rsid w:val="00155314"/>
    <w:rsid w:val="001571F3"/>
    <w:rsid w:val="00157D44"/>
    <w:rsid w:val="00160977"/>
    <w:rsid w:val="001825AC"/>
    <w:rsid w:val="0018385E"/>
    <w:rsid w:val="001A5993"/>
    <w:rsid w:val="001C0136"/>
    <w:rsid w:val="001C1EE3"/>
    <w:rsid w:val="001C713C"/>
    <w:rsid w:val="001D75B9"/>
    <w:rsid w:val="001F2AD2"/>
    <w:rsid w:val="00200F05"/>
    <w:rsid w:val="00203FD5"/>
    <w:rsid w:val="00212B34"/>
    <w:rsid w:val="002132E8"/>
    <w:rsid w:val="00220056"/>
    <w:rsid w:val="00231F9A"/>
    <w:rsid w:val="002421F0"/>
    <w:rsid w:val="002626ED"/>
    <w:rsid w:val="002658D3"/>
    <w:rsid w:val="00265A40"/>
    <w:rsid w:val="00267999"/>
    <w:rsid w:val="002705CE"/>
    <w:rsid w:val="00282FDE"/>
    <w:rsid w:val="0029130A"/>
    <w:rsid w:val="002B54C5"/>
    <w:rsid w:val="002B778C"/>
    <w:rsid w:val="002F7170"/>
    <w:rsid w:val="003033F6"/>
    <w:rsid w:val="0031312B"/>
    <w:rsid w:val="00326B77"/>
    <w:rsid w:val="003367C1"/>
    <w:rsid w:val="00366C60"/>
    <w:rsid w:val="00374772"/>
    <w:rsid w:val="00377FB3"/>
    <w:rsid w:val="003A4540"/>
    <w:rsid w:val="003B1EF2"/>
    <w:rsid w:val="003B4D7D"/>
    <w:rsid w:val="003C1CA3"/>
    <w:rsid w:val="003C2982"/>
    <w:rsid w:val="003D1E89"/>
    <w:rsid w:val="003D42BD"/>
    <w:rsid w:val="003E0AB3"/>
    <w:rsid w:val="003E3690"/>
    <w:rsid w:val="00401C42"/>
    <w:rsid w:val="00401F46"/>
    <w:rsid w:val="004076DE"/>
    <w:rsid w:val="004318EF"/>
    <w:rsid w:val="00435228"/>
    <w:rsid w:val="004532A5"/>
    <w:rsid w:val="00460AFB"/>
    <w:rsid w:val="00470130"/>
    <w:rsid w:val="00483B0A"/>
    <w:rsid w:val="00483BA8"/>
    <w:rsid w:val="00490E35"/>
    <w:rsid w:val="00495476"/>
    <w:rsid w:val="00497A74"/>
    <w:rsid w:val="004A26E2"/>
    <w:rsid w:val="004B5126"/>
    <w:rsid w:val="004B5B2E"/>
    <w:rsid w:val="004E502E"/>
    <w:rsid w:val="004F7838"/>
    <w:rsid w:val="004F7F0F"/>
    <w:rsid w:val="00503391"/>
    <w:rsid w:val="00552960"/>
    <w:rsid w:val="00557CEB"/>
    <w:rsid w:val="0056018A"/>
    <w:rsid w:val="00567344"/>
    <w:rsid w:val="00573ECC"/>
    <w:rsid w:val="005829DC"/>
    <w:rsid w:val="00587FDF"/>
    <w:rsid w:val="005975B8"/>
    <w:rsid w:val="005B5B93"/>
    <w:rsid w:val="005C0B4E"/>
    <w:rsid w:val="005C0E75"/>
    <w:rsid w:val="005C2672"/>
    <w:rsid w:val="005C2795"/>
    <w:rsid w:val="005C421F"/>
    <w:rsid w:val="005D0FA0"/>
    <w:rsid w:val="005E0B92"/>
    <w:rsid w:val="005F16F0"/>
    <w:rsid w:val="00606267"/>
    <w:rsid w:val="00610A2C"/>
    <w:rsid w:val="00613107"/>
    <w:rsid w:val="0063068E"/>
    <w:rsid w:val="00640346"/>
    <w:rsid w:val="006467EE"/>
    <w:rsid w:val="0065185D"/>
    <w:rsid w:val="0065397F"/>
    <w:rsid w:val="006648AC"/>
    <w:rsid w:val="00680629"/>
    <w:rsid w:val="00680ADF"/>
    <w:rsid w:val="00686C52"/>
    <w:rsid w:val="00694A82"/>
    <w:rsid w:val="00696DF9"/>
    <w:rsid w:val="006C31A7"/>
    <w:rsid w:val="006D7A41"/>
    <w:rsid w:val="006F1414"/>
    <w:rsid w:val="00700F21"/>
    <w:rsid w:val="00715F53"/>
    <w:rsid w:val="00741EDD"/>
    <w:rsid w:val="007432BF"/>
    <w:rsid w:val="00747A9C"/>
    <w:rsid w:val="007525BF"/>
    <w:rsid w:val="00762442"/>
    <w:rsid w:val="007655EB"/>
    <w:rsid w:val="00765F6A"/>
    <w:rsid w:val="00766F71"/>
    <w:rsid w:val="0077033B"/>
    <w:rsid w:val="007800DC"/>
    <w:rsid w:val="007838AA"/>
    <w:rsid w:val="00783D5E"/>
    <w:rsid w:val="00784402"/>
    <w:rsid w:val="00784956"/>
    <w:rsid w:val="00785FD6"/>
    <w:rsid w:val="007B212D"/>
    <w:rsid w:val="007F1199"/>
    <w:rsid w:val="007F4254"/>
    <w:rsid w:val="00806A61"/>
    <w:rsid w:val="008171DD"/>
    <w:rsid w:val="00824BFD"/>
    <w:rsid w:val="0082578E"/>
    <w:rsid w:val="00843BFE"/>
    <w:rsid w:val="008453B3"/>
    <w:rsid w:val="008509E9"/>
    <w:rsid w:val="00854DD8"/>
    <w:rsid w:val="00865E90"/>
    <w:rsid w:val="00892E47"/>
    <w:rsid w:val="008A7900"/>
    <w:rsid w:val="008C6B2D"/>
    <w:rsid w:val="008C7B46"/>
    <w:rsid w:val="008D0C9E"/>
    <w:rsid w:val="008D3B56"/>
    <w:rsid w:val="008D5CEF"/>
    <w:rsid w:val="008E5F03"/>
    <w:rsid w:val="0093339C"/>
    <w:rsid w:val="009360F9"/>
    <w:rsid w:val="009441AF"/>
    <w:rsid w:val="00956CFA"/>
    <w:rsid w:val="00964F00"/>
    <w:rsid w:val="009733C9"/>
    <w:rsid w:val="00994C43"/>
    <w:rsid w:val="00995A0C"/>
    <w:rsid w:val="00996EE6"/>
    <w:rsid w:val="009B511E"/>
    <w:rsid w:val="009D3AFA"/>
    <w:rsid w:val="009D4F66"/>
    <w:rsid w:val="009D72A0"/>
    <w:rsid w:val="009E0F5E"/>
    <w:rsid w:val="009F3A36"/>
    <w:rsid w:val="00A04E51"/>
    <w:rsid w:val="00A14BA9"/>
    <w:rsid w:val="00A21EB2"/>
    <w:rsid w:val="00A250A2"/>
    <w:rsid w:val="00A2559C"/>
    <w:rsid w:val="00A27A5A"/>
    <w:rsid w:val="00A31561"/>
    <w:rsid w:val="00A373BE"/>
    <w:rsid w:val="00A4214A"/>
    <w:rsid w:val="00A4730C"/>
    <w:rsid w:val="00A53140"/>
    <w:rsid w:val="00A541E0"/>
    <w:rsid w:val="00A54E95"/>
    <w:rsid w:val="00A80564"/>
    <w:rsid w:val="00A876F7"/>
    <w:rsid w:val="00A8772A"/>
    <w:rsid w:val="00A960B2"/>
    <w:rsid w:val="00AB7931"/>
    <w:rsid w:val="00AD1289"/>
    <w:rsid w:val="00AE6430"/>
    <w:rsid w:val="00AE6633"/>
    <w:rsid w:val="00AF5997"/>
    <w:rsid w:val="00B006C6"/>
    <w:rsid w:val="00B01FF1"/>
    <w:rsid w:val="00B325E7"/>
    <w:rsid w:val="00B72516"/>
    <w:rsid w:val="00B83105"/>
    <w:rsid w:val="00B875DA"/>
    <w:rsid w:val="00B92C97"/>
    <w:rsid w:val="00B94909"/>
    <w:rsid w:val="00BA3C70"/>
    <w:rsid w:val="00BB4E42"/>
    <w:rsid w:val="00BC0442"/>
    <w:rsid w:val="00BC1BE6"/>
    <w:rsid w:val="00BC6295"/>
    <w:rsid w:val="00BD20FB"/>
    <w:rsid w:val="00C01073"/>
    <w:rsid w:val="00C10F34"/>
    <w:rsid w:val="00C24BB7"/>
    <w:rsid w:val="00C320CF"/>
    <w:rsid w:val="00C37824"/>
    <w:rsid w:val="00C5621A"/>
    <w:rsid w:val="00C679D7"/>
    <w:rsid w:val="00C77578"/>
    <w:rsid w:val="00C855F6"/>
    <w:rsid w:val="00C87C4C"/>
    <w:rsid w:val="00C92F53"/>
    <w:rsid w:val="00CA1357"/>
    <w:rsid w:val="00CA285D"/>
    <w:rsid w:val="00CD18CC"/>
    <w:rsid w:val="00CD5223"/>
    <w:rsid w:val="00CE5010"/>
    <w:rsid w:val="00CE6E17"/>
    <w:rsid w:val="00CF059C"/>
    <w:rsid w:val="00D0528A"/>
    <w:rsid w:val="00D11B37"/>
    <w:rsid w:val="00D2501F"/>
    <w:rsid w:val="00D300E9"/>
    <w:rsid w:val="00D31FFB"/>
    <w:rsid w:val="00D342BC"/>
    <w:rsid w:val="00D35F03"/>
    <w:rsid w:val="00D408EF"/>
    <w:rsid w:val="00D5145C"/>
    <w:rsid w:val="00D5218F"/>
    <w:rsid w:val="00D53EB2"/>
    <w:rsid w:val="00D60E4F"/>
    <w:rsid w:val="00D64DAE"/>
    <w:rsid w:val="00D67021"/>
    <w:rsid w:val="00D72024"/>
    <w:rsid w:val="00D729A1"/>
    <w:rsid w:val="00D75908"/>
    <w:rsid w:val="00D80074"/>
    <w:rsid w:val="00D87E11"/>
    <w:rsid w:val="00D94D7F"/>
    <w:rsid w:val="00DA2BDA"/>
    <w:rsid w:val="00DA3834"/>
    <w:rsid w:val="00DB2A94"/>
    <w:rsid w:val="00DB5225"/>
    <w:rsid w:val="00DB5435"/>
    <w:rsid w:val="00DC4DC6"/>
    <w:rsid w:val="00DD1E5E"/>
    <w:rsid w:val="00DD51F1"/>
    <w:rsid w:val="00DE6417"/>
    <w:rsid w:val="00DE6912"/>
    <w:rsid w:val="00E14026"/>
    <w:rsid w:val="00E1627A"/>
    <w:rsid w:val="00E34C35"/>
    <w:rsid w:val="00E650A8"/>
    <w:rsid w:val="00E66301"/>
    <w:rsid w:val="00E669EE"/>
    <w:rsid w:val="00E82BF0"/>
    <w:rsid w:val="00E878B4"/>
    <w:rsid w:val="00EB3D00"/>
    <w:rsid w:val="00EC5674"/>
    <w:rsid w:val="00F156D2"/>
    <w:rsid w:val="00F253C4"/>
    <w:rsid w:val="00F259A0"/>
    <w:rsid w:val="00F27D93"/>
    <w:rsid w:val="00F3236D"/>
    <w:rsid w:val="00F34BD7"/>
    <w:rsid w:val="00F60849"/>
    <w:rsid w:val="00F67864"/>
    <w:rsid w:val="00F70B67"/>
    <w:rsid w:val="00F71720"/>
    <w:rsid w:val="00F77334"/>
    <w:rsid w:val="00F8052E"/>
    <w:rsid w:val="00FD2032"/>
    <w:rsid w:val="00FE040F"/>
    <w:rsid w:val="00FE42B3"/>
    <w:rsid w:val="0133784E"/>
    <w:rsid w:val="014832F2"/>
    <w:rsid w:val="014D51C1"/>
    <w:rsid w:val="01707B35"/>
    <w:rsid w:val="01714809"/>
    <w:rsid w:val="01C52478"/>
    <w:rsid w:val="02184C85"/>
    <w:rsid w:val="027408EE"/>
    <w:rsid w:val="02963F39"/>
    <w:rsid w:val="029C4C37"/>
    <w:rsid w:val="02BA7274"/>
    <w:rsid w:val="02BF5DB0"/>
    <w:rsid w:val="03251978"/>
    <w:rsid w:val="0325718A"/>
    <w:rsid w:val="033D69C3"/>
    <w:rsid w:val="03527279"/>
    <w:rsid w:val="03722761"/>
    <w:rsid w:val="038B0255"/>
    <w:rsid w:val="039A338F"/>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41959"/>
    <w:rsid w:val="060B4B7B"/>
    <w:rsid w:val="06132F28"/>
    <w:rsid w:val="06160D68"/>
    <w:rsid w:val="06266F78"/>
    <w:rsid w:val="063E7B7A"/>
    <w:rsid w:val="06582413"/>
    <w:rsid w:val="066C6EAE"/>
    <w:rsid w:val="067C1AC3"/>
    <w:rsid w:val="067E33B8"/>
    <w:rsid w:val="069C2954"/>
    <w:rsid w:val="06C11211"/>
    <w:rsid w:val="06E82FCB"/>
    <w:rsid w:val="06F34B95"/>
    <w:rsid w:val="07083FD7"/>
    <w:rsid w:val="071F0C1A"/>
    <w:rsid w:val="07571DAC"/>
    <w:rsid w:val="07876FF4"/>
    <w:rsid w:val="078A0D17"/>
    <w:rsid w:val="07D23704"/>
    <w:rsid w:val="08000695"/>
    <w:rsid w:val="08332819"/>
    <w:rsid w:val="089514C7"/>
    <w:rsid w:val="08E64121"/>
    <w:rsid w:val="090D5816"/>
    <w:rsid w:val="09380E4E"/>
    <w:rsid w:val="0942017F"/>
    <w:rsid w:val="094D5FE4"/>
    <w:rsid w:val="09774637"/>
    <w:rsid w:val="09BA1FBB"/>
    <w:rsid w:val="09CB139F"/>
    <w:rsid w:val="09D73678"/>
    <w:rsid w:val="0A0106F5"/>
    <w:rsid w:val="0A112AB7"/>
    <w:rsid w:val="0A447F32"/>
    <w:rsid w:val="0A7F7554"/>
    <w:rsid w:val="0A9770CC"/>
    <w:rsid w:val="0AD71BC7"/>
    <w:rsid w:val="0ADB7197"/>
    <w:rsid w:val="0AF420EB"/>
    <w:rsid w:val="0B2B2BF5"/>
    <w:rsid w:val="0B2F3908"/>
    <w:rsid w:val="0B3F6206"/>
    <w:rsid w:val="0B485953"/>
    <w:rsid w:val="0B6A1E76"/>
    <w:rsid w:val="0BAD0D35"/>
    <w:rsid w:val="0BDB06E0"/>
    <w:rsid w:val="0BE12DB6"/>
    <w:rsid w:val="0BE65DB3"/>
    <w:rsid w:val="0C345AD1"/>
    <w:rsid w:val="0C626CE4"/>
    <w:rsid w:val="0C851B7F"/>
    <w:rsid w:val="0D0C2B7B"/>
    <w:rsid w:val="0D9308F8"/>
    <w:rsid w:val="0E0908A4"/>
    <w:rsid w:val="0E1A1D85"/>
    <w:rsid w:val="0E2350DD"/>
    <w:rsid w:val="0E696120"/>
    <w:rsid w:val="0E750568"/>
    <w:rsid w:val="0EB93A32"/>
    <w:rsid w:val="0EE11427"/>
    <w:rsid w:val="0F2D7A80"/>
    <w:rsid w:val="0F36499C"/>
    <w:rsid w:val="0F4277E5"/>
    <w:rsid w:val="0FA75561"/>
    <w:rsid w:val="0FB83603"/>
    <w:rsid w:val="0FCA77F1"/>
    <w:rsid w:val="0FCD5DCC"/>
    <w:rsid w:val="0FE06C0E"/>
    <w:rsid w:val="0FF74621"/>
    <w:rsid w:val="10270545"/>
    <w:rsid w:val="108A1D4B"/>
    <w:rsid w:val="10A10111"/>
    <w:rsid w:val="10BE093E"/>
    <w:rsid w:val="110F6D60"/>
    <w:rsid w:val="111B0FE9"/>
    <w:rsid w:val="11480AE8"/>
    <w:rsid w:val="115F67A8"/>
    <w:rsid w:val="118B5473"/>
    <w:rsid w:val="119A7465"/>
    <w:rsid w:val="11C07DA5"/>
    <w:rsid w:val="12491386"/>
    <w:rsid w:val="12746E74"/>
    <w:rsid w:val="12E60579"/>
    <w:rsid w:val="130D3C66"/>
    <w:rsid w:val="13695B36"/>
    <w:rsid w:val="1372609F"/>
    <w:rsid w:val="14092DB2"/>
    <w:rsid w:val="140E390C"/>
    <w:rsid w:val="142D2826"/>
    <w:rsid w:val="145A6A37"/>
    <w:rsid w:val="1467440F"/>
    <w:rsid w:val="14F73019"/>
    <w:rsid w:val="15433A9B"/>
    <w:rsid w:val="15D13671"/>
    <w:rsid w:val="15FC2F04"/>
    <w:rsid w:val="15FD3709"/>
    <w:rsid w:val="16181FAC"/>
    <w:rsid w:val="166050EB"/>
    <w:rsid w:val="167D1808"/>
    <w:rsid w:val="168756A0"/>
    <w:rsid w:val="16DF23DD"/>
    <w:rsid w:val="16E7142F"/>
    <w:rsid w:val="16F94849"/>
    <w:rsid w:val="17045E51"/>
    <w:rsid w:val="172011D4"/>
    <w:rsid w:val="17252C3B"/>
    <w:rsid w:val="173F0A2E"/>
    <w:rsid w:val="17770BC2"/>
    <w:rsid w:val="17793FC0"/>
    <w:rsid w:val="17860E2F"/>
    <w:rsid w:val="17A119AA"/>
    <w:rsid w:val="17AF1095"/>
    <w:rsid w:val="17C55E7C"/>
    <w:rsid w:val="18586F2B"/>
    <w:rsid w:val="192F3CC4"/>
    <w:rsid w:val="1935690C"/>
    <w:rsid w:val="19A766B9"/>
    <w:rsid w:val="19BE4F9F"/>
    <w:rsid w:val="19CE76BA"/>
    <w:rsid w:val="19F26070"/>
    <w:rsid w:val="19F97C8B"/>
    <w:rsid w:val="1A1523CE"/>
    <w:rsid w:val="1A21343D"/>
    <w:rsid w:val="1A555D89"/>
    <w:rsid w:val="1AA730BD"/>
    <w:rsid w:val="1ABD4410"/>
    <w:rsid w:val="1B333D5D"/>
    <w:rsid w:val="1B587618"/>
    <w:rsid w:val="1B5F19C7"/>
    <w:rsid w:val="1BB82B8C"/>
    <w:rsid w:val="1BE85FD5"/>
    <w:rsid w:val="1C071E75"/>
    <w:rsid w:val="1C1C709B"/>
    <w:rsid w:val="1C6F5D50"/>
    <w:rsid w:val="1C9F6814"/>
    <w:rsid w:val="1D5C514E"/>
    <w:rsid w:val="1D834723"/>
    <w:rsid w:val="1D85395E"/>
    <w:rsid w:val="1D865D14"/>
    <w:rsid w:val="1D8705EC"/>
    <w:rsid w:val="1E43150B"/>
    <w:rsid w:val="1E635E0D"/>
    <w:rsid w:val="1EA93E80"/>
    <w:rsid w:val="1EC024D4"/>
    <w:rsid w:val="1ED33FB6"/>
    <w:rsid w:val="1EE81332"/>
    <w:rsid w:val="1EED2D98"/>
    <w:rsid w:val="1F32415A"/>
    <w:rsid w:val="1F5A4199"/>
    <w:rsid w:val="1F7E2174"/>
    <w:rsid w:val="1FC32513"/>
    <w:rsid w:val="20107567"/>
    <w:rsid w:val="208717DB"/>
    <w:rsid w:val="20AB56C6"/>
    <w:rsid w:val="20E17EDB"/>
    <w:rsid w:val="21253EF1"/>
    <w:rsid w:val="2176507C"/>
    <w:rsid w:val="21BA10C4"/>
    <w:rsid w:val="21BE35AF"/>
    <w:rsid w:val="21C11174"/>
    <w:rsid w:val="22244B28"/>
    <w:rsid w:val="22467FD4"/>
    <w:rsid w:val="22784511"/>
    <w:rsid w:val="229451FD"/>
    <w:rsid w:val="22A12DB6"/>
    <w:rsid w:val="230B2F77"/>
    <w:rsid w:val="234E7F91"/>
    <w:rsid w:val="23533917"/>
    <w:rsid w:val="236356D1"/>
    <w:rsid w:val="23A91C83"/>
    <w:rsid w:val="23C962E8"/>
    <w:rsid w:val="23ED0417"/>
    <w:rsid w:val="246439BC"/>
    <w:rsid w:val="247E4FED"/>
    <w:rsid w:val="24B30BE8"/>
    <w:rsid w:val="24C6643F"/>
    <w:rsid w:val="24E34060"/>
    <w:rsid w:val="24EF2718"/>
    <w:rsid w:val="253A0491"/>
    <w:rsid w:val="253D4C0F"/>
    <w:rsid w:val="25CC0AA5"/>
    <w:rsid w:val="25E036B2"/>
    <w:rsid w:val="25E9082A"/>
    <w:rsid w:val="25F42473"/>
    <w:rsid w:val="26371997"/>
    <w:rsid w:val="26894267"/>
    <w:rsid w:val="26AF2D79"/>
    <w:rsid w:val="26B34B91"/>
    <w:rsid w:val="270D66E8"/>
    <w:rsid w:val="27151D45"/>
    <w:rsid w:val="271D6ECC"/>
    <w:rsid w:val="27514612"/>
    <w:rsid w:val="27597388"/>
    <w:rsid w:val="278B0DAB"/>
    <w:rsid w:val="279C6B0E"/>
    <w:rsid w:val="279E140F"/>
    <w:rsid w:val="27A241B6"/>
    <w:rsid w:val="27A64735"/>
    <w:rsid w:val="27CC4DF2"/>
    <w:rsid w:val="281864F2"/>
    <w:rsid w:val="28316337"/>
    <w:rsid w:val="286903EF"/>
    <w:rsid w:val="287F5DD3"/>
    <w:rsid w:val="288047CB"/>
    <w:rsid w:val="288A7505"/>
    <w:rsid w:val="289E62FA"/>
    <w:rsid w:val="291E2CA6"/>
    <w:rsid w:val="29331862"/>
    <w:rsid w:val="299E147F"/>
    <w:rsid w:val="29C32A87"/>
    <w:rsid w:val="29CF26DC"/>
    <w:rsid w:val="2A1C5DA0"/>
    <w:rsid w:val="2A200D39"/>
    <w:rsid w:val="2A507EFF"/>
    <w:rsid w:val="2A6579DF"/>
    <w:rsid w:val="2ACF200F"/>
    <w:rsid w:val="2ADC05A4"/>
    <w:rsid w:val="2B0423C1"/>
    <w:rsid w:val="2B4544FA"/>
    <w:rsid w:val="2B54318E"/>
    <w:rsid w:val="2B6F0D7F"/>
    <w:rsid w:val="2B797443"/>
    <w:rsid w:val="2B8716BD"/>
    <w:rsid w:val="2B8B76FF"/>
    <w:rsid w:val="2BA04BD8"/>
    <w:rsid w:val="2BC22DD1"/>
    <w:rsid w:val="2BD5034F"/>
    <w:rsid w:val="2BE77C84"/>
    <w:rsid w:val="2C0B6845"/>
    <w:rsid w:val="2C362F31"/>
    <w:rsid w:val="2C60275E"/>
    <w:rsid w:val="2C74067E"/>
    <w:rsid w:val="2C9E432B"/>
    <w:rsid w:val="2D025012"/>
    <w:rsid w:val="2D4178F0"/>
    <w:rsid w:val="2DA535EC"/>
    <w:rsid w:val="2DA92C79"/>
    <w:rsid w:val="2DAE631A"/>
    <w:rsid w:val="2DCF7E57"/>
    <w:rsid w:val="2DD877E0"/>
    <w:rsid w:val="2DE616C9"/>
    <w:rsid w:val="2DFC2451"/>
    <w:rsid w:val="2E3422F8"/>
    <w:rsid w:val="2E392F37"/>
    <w:rsid w:val="2E536027"/>
    <w:rsid w:val="2E6D31FB"/>
    <w:rsid w:val="2E6D565A"/>
    <w:rsid w:val="2E6E566D"/>
    <w:rsid w:val="2E7F188E"/>
    <w:rsid w:val="2EBC0905"/>
    <w:rsid w:val="2EC73739"/>
    <w:rsid w:val="2EFB1B0E"/>
    <w:rsid w:val="2F5C684F"/>
    <w:rsid w:val="303A20E7"/>
    <w:rsid w:val="307776D1"/>
    <w:rsid w:val="30862574"/>
    <w:rsid w:val="30B631E1"/>
    <w:rsid w:val="30C12E8B"/>
    <w:rsid w:val="311933AA"/>
    <w:rsid w:val="313047C4"/>
    <w:rsid w:val="317D15BB"/>
    <w:rsid w:val="31A67308"/>
    <w:rsid w:val="31D07E6C"/>
    <w:rsid w:val="323F65DA"/>
    <w:rsid w:val="32412074"/>
    <w:rsid w:val="325B63D6"/>
    <w:rsid w:val="32745B63"/>
    <w:rsid w:val="32A0644D"/>
    <w:rsid w:val="32DE0199"/>
    <w:rsid w:val="335B2774"/>
    <w:rsid w:val="33A4642E"/>
    <w:rsid w:val="33A877AB"/>
    <w:rsid w:val="33D4039C"/>
    <w:rsid w:val="33D47E05"/>
    <w:rsid w:val="340017FF"/>
    <w:rsid w:val="3413677D"/>
    <w:rsid w:val="342B544B"/>
    <w:rsid w:val="34301664"/>
    <w:rsid w:val="343839A4"/>
    <w:rsid w:val="345E036E"/>
    <w:rsid w:val="34DE1E4F"/>
    <w:rsid w:val="34F07DB1"/>
    <w:rsid w:val="35515F3D"/>
    <w:rsid w:val="358D07D1"/>
    <w:rsid w:val="359F7456"/>
    <w:rsid w:val="35B0692A"/>
    <w:rsid w:val="35D354B8"/>
    <w:rsid w:val="35D4025C"/>
    <w:rsid w:val="35F516ED"/>
    <w:rsid w:val="35FC2392"/>
    <w:rsid w:val="362666BC"/>
    <w:rsid w:val="362B2205"/>
    <w:rsid w:val="362D71B8"/>
    <w:rsid w:val="368A6B11"/>
    <w:rsid w:val="36A77DAA"/>
    <w:rsid w:val="37085B1F"/>
    <w:rsid w:val="370A19E9"/>
    <w:rsid w:val="372E04CB"/>
    <w:rsid w:val="37742729"/>
    <w:rsid w:val="37C85FF9"/>
    <w:rsid w:val="37DB5D8E"/>
    <w:rsid w:val="387260AA"/>
    <w:rsid w:val="388614C8"/>
    <w:rsid w:val="389F67CD"/>
    <w:rsid w:val="38D55634"/>
    <w:rsid w:val="38E070F2"/>
    <w:rsid w:val="390B0AC4"/>
    <w:rsid w:val="390D33AB"/>
    <w:rsid w:val="391E6D06"/>
    <w:rsid w:val="39CE5179"/>
    <w:rsid w:val="3A074847"/>
    <w:rsid w:val="3AA755B1"/>
    <w:rsid w:val="3AA90FE6"/>
    <w:rsid w:val="3AA9318F"/>
    <w:rsid w:val="3AB62DA0"/>
    <w:rsid w:val="3AC61BD3"/>
    <w:rsid w:val="3B0E41A9"/>
    <w:rsid w:val="3B273268"/>
    <w:rsid w:val="3B3B6363"/>
    <w:rsid w:val="3B7D3FD5"/>
    <w:rsid w:val="3B823DDF"/>
    <w:rsid w:val="3C084B3D"/>
    <w:rsid w:val="3C0B5A9E"/>
    <w:rsid w:val="3C237ED3"/>
    <w:rsid w:val="3C60089E"/>
    <w:rsid w:val="3C91192E"/>
    <w:rsid w:val="3CAA596A"/>
    <w:rsid w:val="3CB1587B"/>
    <w:rsid w:val="3CB735F2"/>
    <w:rsid w:val="3D186684"/>
    <w:rsid w:val="3D363C36"/>
    <w:rsid w:val="3D4C7C96"/>
    <w:rsid w:val="3D8B2178"/>
    <w:rsid w:val="3DB34909"/>
    <w:rsid w:val="3DD115F5"/>
    <w:rsid w:val="3DE435F0"/>
    <w:rsid w:val="3DE5122C"/>
    <w:rsid w:val="3DF37E53"/>
    <w:rsid w:val="3E1F280B"/>
    <w:rsid w:val="3E2609B2"/>
    <w:rsid w:val="3ED26DE9"/>
    <w:rsid w:val="3EED17D0"/>
    <w:rsid w:val="3F0C0304"/>
    <w:rsid w:val="3FE25AA0"/>
    <w:rsid w:val="3FEC147E"/>
    <w:rsid w:val="40086734"/>
    <w:rsid w:val="4024153A"/>
    <w:rsid w:val="403703F1"/>
    <w:rsid w:val="40376375"/>
    <w:rsid w:val="40EF47EC"/>
    <w:rsid w:val="40F441C9"/>
    <w:rsid w:val="412732B7"/>
    <w:rsid w:val="4127791F"/>
    <w:rsid w:val="41281794"/>
    <w:rsid w:val="412A6279"/>
    <w:rsid w:val="413C1FDF"/>
    <w:rsid w:val="41806A69"/>
    <w:rsid w:val="41B0259C"/>
    <w:rsid w:val="41B27457"/>
    <w:rsid w:val="41BC6F1C"/>
    <w:rsid w:val="41EF2363"/>
    <w:rsid w:val="41F77860"/>
    <w:rsid w:val="424A4B98"/>
    <w:rsid w:val="42581D3A"/>
    <w:rsid w:val="4262787F"/>
    <w:rsid w:val="42FE0080"/>
    <w:rsid w:val="43303F0B"/>
    <w:rsid w:val="43315D2E"/>
    <w:rsid w:val="43824A1C"/>
    <w:rsid w:val="4390486D"/>
    <w:rsid w:val="43D110E1"/>
    <w:rsid w:val="43E873C9"/>
    <w:rsid w:val="441540A8"/>
    <w:rsid w:val="44154973"/>
    <w:rsid w:val="441618DE"/>
    <w:rsid w:val="44250817"/>
    <w:rsid w:val="44905B1F"/>
    <w:rsid w:val="45007767"/>
    <w:rsid w:val="45316885"/>
    <w:rsid w:val="4577147D"/>
    <w:rsid w:val="45A95EE9"/>
    <w:rsid w:val="45FB0F21"/>
    <w:rsid w:val="46167166"/>
    <w:rsid w:val="461A2194"/>
    <w:rsid w:val="465E515F"/>
    <w:rsid w:val="47200EE3"/>
    <w:rsid w:val="47435AC2"/>
    <w:rsid w:val="47544B78"/>
    <w:rsid w:val="47587AF7"/>
    <w:rsid w:val="47745A86"/>
    <w:rsid w:val="477D7ED7"/>
    <w:rsid w:val="478255BB"/>
    <w:rsid w:val="47E239AC"/>
    <w:rsid w:val="480C3F11"/>
    <w:rsid w:val="480F4B73"/>
    <w:rsid w:val="482F5B69"/>
    <w:rsid w:val="48334AEC"/>
    <w:rsid w:val="4845006E"/>
    <w:rsid w:val="48534A6D"/>
    <w:rsid w:val="48A47EB8"/>
    <w:rsid w:val="48DB38E3"/>
    <w:rsid w:val="49001B5E"/>
    <w:rsid w:val="490552B7"/>
    <w:rsid w:val="49376DB0"/>
    <w:rsid w:val="49804BB7"/>
    <w:rsid w:val="49826DCB"/>
    <w:rsid w:val="499013E7"/>
    <w:rsid w:val="49C8088A"/>
    <w:rsid w:val="49CB3D06"/>
    <w:rsid w:val="4A301C93"/>
    <w:rsid w:val="4A3302AB"/>
    <w:rsid w:val="4A495C63"/>
    <w:rsid w:val="4A7F3A12"/>
    <w:rsid w:val="4AC85D49"/>
    <w:rsid w:val="4AE308A9"/>
    <w:rsid w:val="4B294DDA"/>
    <w:rsid w:val="4B8B712B"/>
    <w:rsid w:val="4B9A1456"/>
    <w:rsid w:val="4BA32C82"/>
    <w:rsid w:val="4BB072A9"/>
    <w:rsid w:val="4BD73978"/>
    <w:rsid w:val="4BE70627"/>
    <w:rsid w:val="4C0A5AE1"/>
    <w:rsid w:val="4C130AB8"/>
    <w:rsid w:val="4C155749"/>
    <w:rsid w:val="4C391ADB"/>
    <w:rsid w:val="4C436FC4"/>
    <w:rsid w:val="4C5A284D"/>
    <w:rsid w:val="4C63431C"/>
    <w:rsid w:val="4CB96B43"/>
    <w:rsid w:val="4CC75FCC"/>
    <w:rsid w:val="4CCF0B1D"/>
    <w:rsid w:val="4CD63947"/>
    <w:rsid w:val="4CFC49F4"/>
    <w:rsid w:val="4D073D73"/>
    <w:rsid w:val="4D1E27BA"/>
    <w:rsid w:val="4D23574A"/>
    <w:rsid w:val="4D4C4DB0"/>
    <w:rsid w:val="4D6238ED"/>
    <w:rsid w:val="4D7322D5"/>
    <w:rsid w:val="4DD7034C"/>
    <w:rsid w:val="4DE312CB"/>
    <w:rsid w:val="4DF5318E"/>
    <w:rsid w:val="4E1F4862"/>
    <w:rsid w:val="4E2E4393"/>
    <w:rsid w:val="4E3C2528"/>
    <w:rsid w:val="4E535EF2"/>
    <w:rsid w:val="4E7A2F19"/>
    <w:rsid w:val="4EB237AC"/>
    <w:rsid w:val="4EF11A75"/>
    <w:rsid w:val="4F08773C"/>
    <w:rsid w:val="4F1123F9"/>
    <w:rsid w:val="4F31409F"/>
    <w:rsid w:val="4F5E670E"/>
    <w:rsid w:val="4F607E3B"/>
    <w:rsid w:val="4F770647"/>
    <w:rsid w:val="4F846A83"/>
    <w:rsid w:val="50070E2C"/>
    <w:rsid w:val="504B57F2"/>
    <w:rsid w:val="509A4341"/>
    <w:rsid w:val="50B05172"/>
    <w:rsid w:val="50C62BC7"/>
    <w:rsid w:val="50F72A66"/>
    <w:rsid w:val="5123368C"/>
    <w:rsid w:val="5130747C"/>
    <w:rsid w:val="515C765A"/>
    <w:rsid w:val="515E0B8A"/>
    <w:rsid w:val="516610D8"/>
    <w:rsid w:val="516A1A68"/>
    <w:rsid w:val="51905BB3"/>
    <w:rsid w:val="51946FCB"/>
    <w:rsid w:val="51CC31EB"/>
    <w:rsid w:val="51DD796B"/>
    <w:rsid w:val="51DF373B"/>
    <w:rsid w:val="528043E7"/>
    <w:rsid w:val="52DA4591"/>
    <w:rsid w:val="52EF4CB5"/>
    <w:rsid w:val="52F959F0"/>
    <w:rsid w:val="5302488E"/>
    <w:rsid w:val="5307426A"/>
    <w:rsid w:val="53136173"/>
    <w:rsid w:val="53951560"/>
    <w:rsid w:val="539A4AC7"/>
    <w:rsid w:val="53A454FB"/>
    <w:rsid w:val="53D004E8"/>
    <w:rsid w:val="54252C7A"/>
    <w:rsid w:val="542631B6"/>
    <w:rsid w:val="545F0C78"/>
    <w:rsid w:val="54601C62"/>
    <w:rsid w:val="54647343"/>
    <w:rsid w:val="54813CFC"/>
    <w:rsid w:val="54A61722"/>
    <w:rsid w:val="54B31FAF"/>
    <w:rsid w:val="54E26C0B"/>
    <w:rsid w:val="54FB4092"/>
    <w:rsid w:val="55326D63"/>
    <w:rsid w:val="555D1A10"/>
    <w:rsid w:val="55BE344D"/>
    <w:rsid w:val="55CE2B4A"/>
    <w:rsid w:val="56AC4A78"/>
    <w:rsid w:val="56B1063E"/>
    <w:rsid w:val="56B63E52"/>
    <w:rsid w:val="56DB16B9"/>
    <w:rsid w:val="574436DA"/>
    <w:rsid w:val="57772F69"/>
    <w:rsid w:val="577A3463"/>
    <w:rsid w:val="57851FA6"/>
    <w:rsid w:val="57F967AD"/>
    <w:rsid w:val="58052975"/>
    <w:rsid w:val="58340E9D"/>
    <w:rsid w:val="58E525CA"/>
    <w:rsid w:val="58FD43FD"/>
    <w:rsid w:val="59080439"/>
    <w:rsid w:val="593D045A"/>
    <w:rsid w:val="593D6AE4"/>
    <w:rsid w:val="5960739E"/>
    <w:rsid w:val="59896D0A"/>
    <w:rsid w:val="59B72684"/>
    <w:rsid w:val="59CC6E29"/>
    <w:rsid w:val="59CE7D0B"/>
    <w:rsid w:val="5A082249"/>
    <w:rsid w:val="5A561066"/>
    <w:rsid w:val="5A9579AE"/>
    <w:rsid w:val="5AA63999"/>
    <w:rsid w:val="5AC468CD"/>
    <w:rsid w:val="5AD813C2"/>
    <w:rsid w:val="5B1634F8"/>
    <w:rsid w:val="5B342B9A"/>
    <w:rsid w:val="5B5953B0"/>
    <w:rsid w:val="5B5B1AB4"/>
    <w:rsid w:val="5B630802"/>
    <w:rsid w:val="5B807F68"/>
    <w:rsid w:val="5B9F5D96"/>
    <w:rsid w:val="5BC94C7C"/>
    <w:rsid w:val="5BFB631F"/>
    <w:rsid w:val="5C034D53"/>
    <w:rsid w:val="5C495A77"/>
    <w:rsid w:val="5C5139A3"/>
    <w:rsid w:val="5C87659C"/>
    <w:rsid w:val="5C903B7A"/>
    <w:rsid w:val="5D166FEC"/>
    <w:rsid w:val="5D2109C8"/>
    <w:rsid w:val="5DF94293"/>
    <w:rsid w:val="5E1D6F56"/>
    <w:rsid w:val="5E52187F"/>
    <w:rsid w:val="5E6A13CD"/>
    <w:rsid w:val="5E705D15"/>
    <w:rsid w:val="5E92274E"/>
    <w:rsid w:val="5E93326C"/>
    <w:rsid w:val="5E9F1A7A"/>
    <w:rsid w:val="5EAA6F51"/>
    <w:rsid w:val="5EFB4BA4"/>
    <w:rsid w:val="5F125F0A"/>
    <w:rsid w:val="5F541AED"/>
    <w:rsid w:val="5F5F46B5"/>
    <w:rsid w:val="5F895CFD"/>
    <w:rsid w:val="5FA476D1"/>
    <w:rsid w:val="5FB25360"/>
    <w:rsid w:val="5FBA3CC0"/>
    <w:rsid w:val="5FC45EE2"/>
    <w:rsid w:val="5FD90D61"/>
    <w:rsid w:val="60177697"/>
    <w:rsid w:val="602329DB"/>
    <w:rsid w:val="602C13CC"/>
    <w:rsid w:val="605A3CA3"/>
    <w:rsid w:val="607777D6"/>
    <w:rsid w:val="60911000"/>
    <w:rsid w:val="60BC76A1"/>
    <w:rsid w:val="60F60B1B"/>
    <w:rsid w:val="610B7637"/>
    <w:rsid w:val="615F5624"/>
    <w:rsid w:val="61847970"/>
    <w:rsid w:val="619C18BE"/>
    <w:rsid w:val="61AD71CC"/>
    <w:rsid w:val="61BE4076"/>
    <w:rsid w:val="61D215CF"/>
    <w:rsid w:val="622C5484"/>
    <w:rsid w:val="625C563D"/>
    <w:rsid w:val="626A1704"/>
    <w:rsid w:val="62AD7E76"/>
    <w:rsid w:val="62B362C8"/>
    <w:rsid w:val="62C1330E"/>
    <w:rsid w:val="630C5A29"/>
    <w:rsid w:val="6342085E"/>
    <w:rsid w:val="636F415C"/>
    <w:rsid w:val="645B5526"/>
    <w:rsid w:val="64785A9C"/>
    <w:rsid w:val="64917820"/>
    <w:rsid w:val="64AA1CC5"/>
    <w:rsid w:val="650E79BA"/>
    <w:rsid w:val="651D5BE5"/>
    <w:rsid w:val="655F1E1A"/>
    <w:rsid w:val="656B2909"/>
    <w:rsid w:val="657D5B4F"/>
    <w:rsid w:val="65914A0B"/>
    <w:rsid w:val="65A3045D"/>
    <w:rsid w:val="65B7595C"/>
    <w:rsid w:val="65CE19A5"/>
    <w:rsid w:val="65D97752"/>
    <w:rsid w:val="65E25E59"/>
    <w:rsid w:val="661047DD"/>
    <w:rsid w:val="66240220"/>
    <w:rsid w:val="66307F76"/>
    <w:rsid w:val="66580EAF"/>
    <w:rsid w:val="66694D0D"/>
    <w:rsid w:val="667B4472"/>
    <w:rsid w:val="66A562F6"/>
    <w:rsid w:val="66F041A8"/>
    <w:rsid w:val="67056EA1"/>
    <w:rsid w:val="671109C3"/>
    <w:rsid w:val="6721178A"/>
    <w:rsid w:val="6739399A"/>
    <w:rsid w:val="673F39DE"/>
    <w:rsid w:val="674C5D22"/>
    <w:rsid w:val="67663AF8"/>
    <w:rsid w:val="67762CFD"/>
    <w:rsid w:val="6777598C"/>
    <w:rsid w:val="677A678D"/>
    <w:rsid w:val="677F20F7"/>
    <w:rsid w:val="67811082"/>
    <w:rsid w:val="67903352"/>
    <w:rsid w:val="67936CBD"/>
    <w:rsid w:val="68011379"/>
    <w:rsid w:val="68252C37"/>
    <w:rsid w:val="68567453"/>
    <w:rsid w:val="68817BAC"/>
    <w:rsid w:val="689A5E59"/>
    <w:rsid w:val="68E91861"/>
    <w:rsid w:val="68EE72DF"/>
    <w:rsid w:val="690F0B4D"/>
    <w:rsid w:val="691F1C81"/>
    <w:rsid w:val="692E2EB0"/>
    <w:rsid w:val="69485FEA"/>
    <w:rsid w:val="694C7BCA"/>
    <w:rsid w:val="69677DC0"/>
    <w:rsid w:val="69684298"/>
    <w:rsid w:val="69937EC7"/>
    <w:rsid w:val="69D64558"/>
    <w:rsid w:val="69E24E99"/>
    <w:rsid w:val="6A042548"/>
    <w:rsid w:val="6A1A53E9"/>
    <w:rsid w:val="6A471EFD"/>
    <w:rsid w:val="6A7F64C7"/>
    <w:rsid w:val="6A90616B"/>
    <w:rsid w:val="6AA4553C"/>
    <w:rsid w:val="6AAA129B"/>
    <w:rsid w:val="6AB51A05"/>
    <w:rsid w:val="6AB57116"/>
    <w:rsid w:val="6AE73176"/>
    <w:rsid w:val="6B17424A"/>
    <w:rsid w:val="6B2218FA"/>
    <w:rsid w:val="6B691672"/>
    <w:rsid w:val="6BC8641A"/>
    <w:rsid w:val="6BD0347D"/>
    <w:rsid w:val="6BE97F42"/>
    <w:rsid w:val="6C296590"/>
    <w:rsid w:val="6C5E6A51"/>
    <w:rsid w:val="6C6513C3"/>
    <w:rsid w:val="6C744268"/>
    <w:rsid w:val="6CD62D03"/>
    <w:rsid w:val="6CD97FB6"/>
    <w:rsid w:val="6CEE2DB0"/>
    <w:rsid w:val="6D4B22B8"/>
    <w:rsid w:val="6D4F2026"/>
    <w:rsid w:val="6D930013"/>
    <w:rsid w:val="6E1A1656"/>
    <w:rsid w:val="6E231DD6"/>
    <w:rsid w:val="6E5A5288"/>
    <w:rsid w:val="6E5D2F46"/>
    <w:rsid w:val="6E76106E"/>
    <w:rsid w:val="6E8B2C1F"/>
    <w:rsid w:val="6E977DFB"/>
    <w:rsid w:val="6EE013EE"/>
    <w:rsid w:val="6EE079F1"/>
    <w:rsid w:val="6EE42C42"/>
    <w:rsid w:val="6F065AB6"/>
    <w:rsid w:val="6F255B5D"/>
    <w:rsid w:val="6F7F7CB0"/>
    <w:rsid w:val="6FBA3011"/>
    <w:rsid w:val="6FE0165C"/>
    <w:rsid w:val="6FE6309C"/>
    <w:rsid w:val="6FF0551E"/>
    <w:rsid w:val="70222744"/>
    <w:rsid w:val="706D2B21"/>
    <w:rsid w:val="707B1384"/>
    <w:rsid w:val="70857A34"/>
    <w:rsid w:val="70985D3C"/>
    <w:rsid w:val="70F40FA1"/>
    <w:rsid w:val="71047C73"/>
    <w:rsid w:val="7109004F"/>
    <w:rsid w:val="71103167"/>
    <w:rsid w:val="712E56F7"/>
    <w:rsid w:val="71385A70"/>
    <w:rsid w:val="71642194"/>
    <w:rsid w:val="71687F6C"/>
    <w:rsid w:val="71691ABB"/>
    <w:rsid w:val="7169386A"/>
    <w:rsid w:val="71AE1AEA"/>
    <w:rsid w:val="71CF3B6C"/>
    <w:rsid w:val="71F80F33"/>
    <w:rsid w:val="722013F6"/>
    <w:rsid w:val="722922C6"/>
    <w:rsid w:val="728121EC"/>
    <w:rsid w:val="729A338D"/>
    <w:rsid w:val="732D4B5D"/>
    <w:rsid w:val="73393C88"/>
    <w:rsid w:val="7362513F"/>
    <w:rsid w:val="7372081D"/>
    <w:rsid w:val="73740A39"/>
    <w:rsid w:val="73771D49"/>
    <w:rsid w:val="73A1354E"/>
    <w:rsid w:val="73A83834"/>
    <w:rsid w:val="74031B3E"/>
    <w:rsid w:val="740C328F"/>
    <w:rsid w:val="74A11E7D"/>
    <w:rsid w:val="74A8528C"/>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1E7367"/>
    <w:rsid w:val="77462524"/>
    <w:rsid w:val="7754544E"/>
    <w:rsid w:val="77855708"/>
    <w:rsid w:val="77A21064"/>
    <w:rsid w:val="77E34EB2"/>
    <w:rsid w:val="78150891"/>
    <w:rsid w:val="781564B8"/>
    <w:rsid w:val="78224ACF"/>
    <w:rsid w:val="783D4D66"/>
    <w:rsid w:val="785D5F3F"/>
    <w:rsid w:val="788A2AAC"/>
    <w:rsid w:val="789645EE"/>
    <w:rsid w:val="78CD6DCC"/>
    <w:rsid w:val="78D07CAF"/>
    <w:rsid w:val="78DE12D7"/>
    <w:rsid w:val="78F13741"/>
    <w:rsid w:val="78FC2038"/>
    <w:rsid w:val="78FC33D7"/>
    <w:rsid w:val="79210683"/>
    <w:rsid w:val="792417A2"/>
    <w:rsid w:val="799C3465"/>
    <w:rsid w:val="79B14EC4"/>
    <w:rsid w:val="79BE1ECC"/>
    <w:rsid w:val="79C95345"/>
    <w:rsid w:val="7A03025E"/>
    <w:rsid w:val="7A09128A"/>
    <w:rsid w:val="7A2A6B4A"/>
    <w:rsid w:val="7A681070"/>
    <w:rsid w:val="7A7A3D2F"/>
    <w:rsid w:val="7A860C7C"/>
    <w:rsid w:val="7AA7239D"/>
    <w:rsid w:val="7AAD79E7"/>
    <w:rsid w:val="7AB879FE"/>
    <w:rsid w:val="7B005560"/>
    <w:rsid w:val="7B3264DD"/>
    <w:rsid w:val="7B7374F2"/>
    <w:rsid w:val="7B81188A"/>
    <w:rsid w:val="7B9E2902"/>
    <w:rsid w:val="7BA434D7"/>
    <w:rsid w:val="7BB128EA"/>
    <w:rsid w:val="7BB46DC3"/>
    <w:rsid w:val="7BC854E2"/>
    <w:rsid w:val="7BEC1468"/>
    <w:rsid w:val="7C0562EC"/>
    <w:rsid w:val="7C27683F"/>
    <w:rsid w:val="7C744BEA"/>
    <w:rsid w:val="7C86057F"/>
    <w:rsid w:val="7C8B6DF3"/>
    <w:rsid w:val="7CB14B4D"/>
    <w:rsid w:val="7CC33EB4"/>
    <w:rsid w:val="7CF26969"/>
    <w:rsid w:val="7D25523C"/>
    <w:rsid w:val="7D651213"/>
    <w:rsid w:val="7D836D0C"/>
    <w:rsid w:val="7D8E4A46"/>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9"/>
    <w:qFormat/>
    <w:uiPriority w:val="9"/>
    <w:pPr>
      <w:keepNext/>
      <w:keepLines/>
      <w:jc w:val="center"/>
      <w:outlineLvl w:val="0"/>
    </w:pPr>
    <w:rPr>
      <w:b/>
      <w:bCs/>
      <w:kern w:val="44"/>
      <w:sz w:val="36"/>
      <w:szCs w:val="44"/>
    </w:rPr>
  </w:style>
  <w:style w:type="paragraph" w:styleId="2">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Normal Indent"/>
    <w:basedOn w:val="1"/>
    <w:link w:val="152"/>
    <w:qFormat/>
    <w:uiPriority w:val="99"/>
    <w:pPr>
      <w:ind w:firstLine="420"/>
    </w:pPr>
    <w:rPr>
      <w:rFonts w:ascii="Times New Roman" w:hAnsi="Times New Roman"/>
      <w:kern w:val="0"/>
      <w:sz w:val="20"/>
      <w:szCs w:val="20"/>
    </w:rPr>
  </w:style>
  <w:style w:type="paragraph" w:styleId="11">
    <w:name w:val="caption"/>
    <w:basedOn w:val="1"/>
    <w:next w:val="1"/>
    <w:qFormat/>
    <w:uiPriority w:val="35"/>
    <w:pPr>
      <w:spacing w:before="152" w:after="160"/>
    </w:pPr>
    <w:rPr>
      <w:rFonts w:ascii="Arial" w:hAnsi="Arial" w:eastAsia="黑体" w:cs="Arial"/>
      <w:sz w:val="20"/>
      <w:szCs w:val="20"/>
    </w:rPr>
  </w:style>
  <w:style w:type="paragraph" w:styleId="12">
    <w:name w:val="Document Map"/>
    <w:basedOn w:val="1"/>
    <w:link w:val="72"/>
    <w:qFormat/>
    <w:uiPriority w:val="0"/>
    <w:pPr>
      <w:shd w:val="clear" w:color="auto" w:fill="000080"/>
    </w:pPr>
    <w:rPr>
      <w:sz w:val="24"/>
    </w:rPr>
  </w:style>
  <w:style w:type="paragraph" w:styleId="13">
    <w:name w:val="toa heading"/>
    <w:basedOn w:val="1"/>
    <w:next w:val="1"/>
    <w:qFormat/>
    <w:uiPriority w:val="99"/>
    <w:pPr>
      <w:spacing w:before="120"/>
    </w:pPr>
    <w:rPr>
      <w:rFonts w:ascii="Arial" w:hAnsi="Arial" w:eastAsia="宋体" w:cs="Arial"/>
      <w:sz w:val="24"/>
      <w:szCs w:val="24"/>
    </w:rPr>
  </w:style>
  <w:style w:type="paragraph" w:styleId="14">
    <w:name w:val="annotation text"/>
    <w:basedOn w:val="1"/>
    <w:link w:val="63"/>
    <w:qFormat/>
    <w:uiPriority w:val="0"/>
    <w:pPr>
      <w:jc w:val="left"/>
    </w:pPr>
  </w:style>
  <w:style w:type="paragraph" w:styleId="15">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6">
    <w:name w:val="Body Text"/>
    <w:basedOn w:val="1"/>
    <w:link w:val="84"/>
    <w:qFormat/>
    <w:uiPriority w:val="99"/>
    <w:pPr>
      <w:adjustRightInd w:val="0"/>
      <w:spacing w:before="120" w:after="120" w:afterLines="50" w:line="360" w:lineRule="auto"/>
      <w:textAlignment w:val="baseline"/>
    </w:pPr>
    <w:rPr>
      <w:rFonts w:ascii="Calibri" w:hAnsi="Calibri" w:eastAsia="新宋体" w:cs="Times New Roman"/>
      <w:szCs w:val="21"/>
    </w:rPr>
  </w:style>
  <w:style w:type="paragraph" w:styleId="17">
    <w:name w:val="Body Text Indent"/>
    <w:basedOn w:val="1"/>
    <w:link w:val="81"/>
    <w:qFormat/>
    <w:uiPriority w:val="99"/>
    <w:pPr>
      <w:spacing w:after="120"/>
      <w:ind w:left="420" w:leftChars="200"/>
    </w:pPr>
    <w:rPr>
      <w:rFonts w:ascii="Calibri" w:hAnsi="Calibri" w:eastAsia="宋体" w:cs="Times New Roman"/>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Plain Text"/>
    <w:basedOn w:val="1"/>
    <w:link w:val="74"/>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5"/>
    <w:qFormat/>
    <w:uiPriority w:val="0"/>
    <w:pPr>
      <w:ind w:left="100" w:leftChars="2500"/>
    </w:pPr>
    <w:rPr>
      <w:sz w:val="24"/>
    </w:rPr>
  </w:style>
  <w:style w:type="paragraph" w:styleId="23">
    <w:name w:val="Body Text Indent 2"/>
    <w:basedOn w:val="1"/>
    <w:link w:val="53"/>
    <w:qFormat/>
    <w:uiPriority w:val="0"/>
    <w:pPr>
      <w:spacing w:after="120" w:line="480" w:lineRule="auto"/>
      <w:ind w:left="420" w:leftChars="200"/>
    </w:pPr>
  </w:style>
  <w:style w:type="paragraph" w:styleId="24">
    <w:name w:val="Balloon Text"/>
    <w:basedOn w:val="1"/>
    <w:link w:val="69"/>
    <w:qFormat/>
    <w:uiPriority w:val="0"/>
    <w:rPr>
      <w:sz w:val="18"/>
    </w:rPr>
  </w:style>
  <w:style w:type="paragraph" w:styleId="25">
    <w:name w:val="footer"/>
    <w:basedOn w:val="1"/>
    <w:link w:val="75"/>
    <w:qFormat/>
    <w:uiPriority w:val="99"/>
    <w:pPr>
      <w:tabs>
        <w:tab w:val="center" w:pos="4153"/>
        <w:tab w:val="right" w:pos="8306"/>
      </w:tabs>
      <w:snapToGrid w:val="0"/>
      <w:jc w:val="left"/>
    </w:pPr>
    <w:rPr>
      <w:sz w:val="18"/>
    </w:rPr>
  </w:style>
  <w:style w:type="paragraph" w:styleId="26">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List"/>
    <w:basedOn w:val="1"/>
    <w:qFormat/>
    <w:uiPriority w:val="99"/>
    <w:pPr>
      <w:ind w:left="420" w:hanging="420"/>
    </w:pPr>
    <w:rPr>
      <w:rFonts w:ascii="Times New Roman" w:hAnsi="Times New Roman" w:eastAsia="宋体" w:cs="Times New Roman"/>
      <w:szCs w:val="20"/>
    </w:rPr>
  </w:style>
  <w:style w:type="paragraph" w:styleId="30">
    <w:name w:val="toc 6"/>
    <w:basedOn w:val="1"/>
    <w:next w:val="1"/>
    <w:qFormat/>
    <w:uiPriority w:val="39"/>
    <w:pPr>
      <w:ind w:left="1200"/>
      <w:jc w:val="left"/>
    </w:pPr>
    <w:rPr>
      <w:rFonts w:ascii="Calibri" w:hAnsi="Calibri" w:eastAsia="宋体" w:cs="Times New Roman"/>
      <w:sz w:val="18"/>
      <w:szCs w:val="18"/>
    </w:rPr>
  </w:style>
  <w:style w:type="paragraph" w:styleId="31">
    <w:name w:val="Body Text Indent 3"/>
    <w:basedOn w:val="1"/>
    <w:link w:val="55"/>
    <w:qFormat/>
    <w:uiPriority w:val="0"/>
    <w:pPr>
      <w:spacing w:after="120"/>
      <w:ind w:left="420" w:leftChars="200"/>
    </w:pPr>
    <w:rPr>
      <w:sz w:val="16"/>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4"/>
    <w:next w:val="14"/>
    <w:link w:val="54"/>
    <w:qFormat/>
    <w:uiPriority w:val="0"/>
    <w:rPr>
      <w:b/>
    </w:rPr>
  </w:style>
  <w:style w:type="paragraph" w:styleId="38">
    <w:name w:val="Body Text First Indent 2"/>
    <w:basedOn w:val="17"/>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0"/>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2"/>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rPr>
  </w:style>
  <w:style w:type="character" w:customStyle="1" w:styleId="53">
    <w:name w:val="正文文本缩进 2 字符"/>
    <w:link w:val="23"/>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1"/>
    <w:qFormat/>
    <w:locked/>
    <w:uiPriority w:val="0"/>
    <w:rPr>
      <w:sz w:val="16"/>
    </w:rPr>
  </w:style>
  <w:style w:type="character" w:customStyle="1" w:styleId="56">
    <w:name w:val="纯文本 Char"/>
    <w:qFormat/>
    <w:uiPriority w:val="0"/>
    <w:rPr>
      <w:rFonts w:ascii="宋体" w:hAnsi="Courier New" w:eastAsia="宋体"/>
      <w:kern w:val="2"/>
      <w:sz w:val="21"/>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6"/>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4"/>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2"/>
    <w:qFormat/>
    <w:locked/>
    <w:uiPriority w:val="0"/>
    <w:rPr>
      <w:sz w:val="24"/>
    </w:rPr>
  </w:style>
  <w:style w:type="character" w:customStyle="1" w:styleId="66">
    <w:name w:val="ATXT_Bullets Zchn"/>
    <w:link w:val="67"/>
    <w:qFormat/>
    <w:locked/>
    <w:uiPriority w:val="99"/>
    <w:rPr>
      <w:rFonts w:ascii="Arial" w:hAnsi="Arial"/>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en-US" w:eastAsia="zh-CN" w:bidi="ar-SA"/>
    </w:rPr>
  </w:style>
  <w:style w:type="character" w:customStyle="1" w:styleId="68">
    <w:name w:val="Char Char5"/>
    <w:qFormat/>
    <w:uiPriority w:val="0"/>
    <w:rPr>
      <w:rFonts w:ascii="宋体" w:hAnsi="Courier New" w:eastAsia="宋体"/>
      <w:kern w:val="2"/>
      <w:sz w:val="21"/>
    </w:rPr>
  </w:style>
  <w:style w:type="character" w:customStyle="1" w:styleId="69">
    <w:name w:val="批注框文本 字符"/>
    <w:link w:val="24"/>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2"/>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0"/>
    <w:qFormat/>
    <w:locked/>
    <w:uiPriority w:val="0"/>
    <w:rPr>
      <w:rFonts w:ascii="宋体" w:hAnsi="Courier New"/>
    </w:rPr>
  </w:style>
  <w:style w:type="character" w:customStyle="1" w:styleId="75">
    <w:name w:val="页脚 字符"/>
    <w:link w:val="25"/>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7"/>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6"/>
    <w:qFormat/>
    <w:uiPriority w:val="99"/>
    <w:rPr>
      <w:rFonts w:ascii="Calibri" w:hAnsi="Calibri" w:eastAsia="新宋体"/>
      <w:kern w:val="2"/>
      <w:sz w:val="21"/>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rPr>
  </w:style>
  <w:style w:type="paragraph" w:customStyle="1" w:styleId="110">
    <w:name w:val="Char Char Char Char Char Char Char"/>
    <w:basedOn w:val="1"/>
    <w:qFormat/>
    <w:uiPriority w:val="0"/>
    <w:rPr>
      <w:rFonts w:ascii="Verdana" w:hAnsi="Verdana" w:eastAsia="宋体" w:cs="Times New Roman"/>
      <w:kern w:val="0"/>
      <w:sz w:val="20"/>
      <w:szCs w:val="20"/>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15">
    <w:name w:val="标书正文格式"/>
    <w:basedOn w:val="20"/>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2"/>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34"/>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rPr>
      <w:rFonts w:eastAsia="黑体"/>
      <w:b w:val="0"/>
      <w:color w:val="000000"/>
      <w:sz w:val="30"/>
      <w:szCs w:val="24"/>
    </w:rPr>
  </w:style>
  <w:style w:type="paragraph" w:customStyle="1" w:styleId="135">
    <w:name w:val="首行缩进"/>
    <w:basedOn w:val="1"/>
    <w:qFormat/>
    <w:uiPriority w:val="0"/>
    <w:pPr>
      <w:ind w:firstLine="480" w:firstLineChars="200"/>
    </w:pPr>
  </w:style>
  <w:style w:type="paragraph" w:customStyle="1" w:styleId="136">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rPr>
  </w:style>
  <w:style w:type="paragraph" w:customStyle="1" w:styleId="140">
    <w:name w:val="K2-A4"/>
    <w:basedOn w:val="6"/>
    <w:qFormat/>
    <w:uiPriority w:val="0"/>
    <w:pPr>
      <w:spacing w:before="0" w:after="0" w:line="360" w:lineRule="auto"/>
    </w:pPr>
    <w:rPr>
      <w:rFonts w:ascii="Times New Roman" w:hAnsi="Times New Roman" w:eastAsia="宋体" w:cs="Times New Roman"/>
      <w:bCs/>
      <w:sz w:val="21"/>
      <w:szCs w:val="28"/>
    </w:rPr>
  </w:style>
  <w:style w:type="paragraph" w:customStyle="1" w:styleId="141">
    <w:name w:val="一级标题"/>
    <w:next w:val="1"/>
    <w:qFormat/>
    <w:uiPriority w:val="0"/>
    <w:pPr>
      <w:numPr>
        <w:ilvl w:val="0"/>
        <w:numId w:val="2"/>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2">
    <w:name w:val="二级标题"/>
    <w:next w:val="1"/>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43">
    <w:name w:val="三级标题"/>
    <w:next w:val="1"/>
    <w:qFormat/>
    <w:uiPriority w:val="0"/>
    <w:pPr>
      <w:numPr>
        <w:ilvl w:val="2"/>
        <w:numId w:val="2"/>
      </w:numPr>
      <w:spacing w:line="360" w:lineRule="auto"/>
      <w:outlineLvl w:val="5"/>
    </w:pPr>
    <w:rPr>
      <w:rFonts w:ascii="宋体" w:hAnsi="宋体" w:eastAsia="宋体" w:cstheme="minorBidi"/>
      <w:b/>
      <w:kern w:val="2"/>
      <w:sz w:val="24"/>
      <w:szCs w:val="24"/>
      <w:lang w:val="en-US" w:eastAsia="zh-CN" w:bidi="ar-SA"/>
    </w:rPr>
  </w:style>
  <w:style w:type="paragraph" w:customStyle="1" w:styleId="144">
    <w:name w:val="表格"/>
    <w:basedOn w:val="1"/>
    <w:qFormat/>
    <w:uiPriority w:val="0"/>
    <w:pPr>
      <w:spacing w:line="300" w:lineRule="auto"/>
    </w:pPr>
    <w:rPr>
      <w:rFonts w:ascii="Times New Roman" w:hAnsi="Times New Roman" w:eastAsia="宋体"/>
      <w:szCs w:val="21"/>
    </w:rPr>
  </w:style>
  <w:style w:type="paragraph" w:customStyle="1" w:styleId="145">
    <w:name w:val="HR正文"/>
    <w:basedOn w:val="1"/>
    <w:link w:val="153"/>
    <w:qFormat/>
    <w:uiPriority w:val="0"/>
    <w:pPr>
      <w:numPr>
        <w:ilvl w:val="1"/>
        <w:numId w:val="3"/>
      </w:numPr>
      <w:spacing w:line="300" w:lineRule="auto"/>
    </w:pPr>
    <w:rPr>
      <w:sz w:val="24"/>
      <w:szCs w:val="24"/>
    </w:rPr>
  </w:style>
  <w:style w:type="paragraph" w:customStyle="1" w:styleId="146">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7">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48">
    <w:name w:val="网格型1"/>
    <w:basedOn w:val="3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9">
    <w:name w:val="HR数字分点"/>
    <w:basedOn w:val="145"/>
    <w:qFormat/>
    <w:uiPriority w:val="0"/>
    <w:pPr>
      <w:numPr>
        <w:numId w:val="4"/>
      </w:numPr>
      <w:ind w:firstLine="0"/>
    </w:pPr>
    <w:rPr>
      <w:rFonts w:ascii="Times New Roman" w:hAnsi="Times New Roman" w:eastAsia="宋体" w:cs="Times New Roman"/>
    </w:rPr>
  </w:style>
  <w:style w:type="paragraph" w:customStyle="1" w:styleId="150">
    <w:name w:val="HR标题4"/>
    <w:basedOn w:val="1"/>
    <w:next w:val="145"/>
    <w:qFormat/>
    <w:uiPriority w:val="0"/>
    <w:pPr>
      <w:numPr>
        <w:ilvl w:val="3"/>
        <w:numId w:val="5"/>
      </w:numPr>
      <w:tabs>
        <w:tab w:val="left" w:pos="794"/>
      </w:tabs>
      <w:spacing w:line="360" w:lineRule="auto"/>
      <w:outlineLvl w:val="3"/>
    </w:pPr>
    <w:rPr>
      <w:rFonts w:ascii="Times New Roman" w:hAnsi="Times New Roman" w:eastAsia="宋体" w:cs="Times New Roman"/>
      <w:sz w:val="24"/>
      <w:szCs w:val="24"/>
    </w:rPr>
  </w:style>
  <w:style w:type="paragraph" w:customStyle="1" w:styleId="151">
    <w:name w:val="HR标题3"/>
    <w:basedOn w:val="1"/>
    <w:next w:val="145"/>
    <w:qFormat/>
    <w:uiPriority w:val="0"/>
    <w:pPr>
      <w:numPr>
        <w:ilvl w:val="2"/>
        <w:numId w:val="5"/>
      </w:numPr>
      <w:tabs>
        <w:tab w:val="left" w:pos="984"/>
      </w:tabs>
      <w:spacing w:line="360" w:lineRule="auto"/>
      <w:outlineLvl w:val="2"/>
    </w:pPr>
    <w:rPr>
      <w:rFonts w:ascii="Times New Roman" w:hAnsi="Times New Roman" w:eastAsia="宋体" w:cs="Times New Roman"/>
      <w:sz w:val="24"/>
      <w:szCs w:val="24"/>
    </w:rPr>
  </w:style>
  <w:style w:type="character" w:customStyle="1" w:styleId="152">
    <w:name w:val="正文缩进 字符"/>
    <w:link w:val="10"/>
    <w:qFormat/>
    <w:uiPriority w:val="99"/>
    <w:rPr>
      <w:rFonts w:eastAsiaTheme="minorEastAsia" w:cstheme="minorBidi"/>
    </w:rPr>
  </w:style>
  <w:style w:type="character" w:customStyle="1" w:styleId="153">
    <w:name w:val="HR正文 Char"/>
    <w:link w:val="145"/>
    <w:qFormat/>
    <w:uiPriority w:val="0"/>
    <w:rPr>
      <w:rFonts w:asciiTheme="minorHAnsi" w:hAnsiTheme="minorHAnsi" w:eastAsiaTheme="minorEastAsia" w:cstheme="minorBidi"/>
      <w:kern w:val="2"/>
      <w:sz w:val="24"/>
      <w:szCs w:val="24"/>
    </w:rPr>
  </w:style>
  <w:style w:type="paragraph" w:customStyle="1" w:styleId="154">
    <w:name w:val="_Style 153"/>
    <w:basedOn w:val="1"/>
    <w:next w:val="129"/>
    <w:link w:val="155"/>
    <w:qFormat/>
    <w:uiPriority w:val="34"/>
    <w:pPr>
      <w:spacing w:line="340" w:lineRule="atLeast"/>
      <w:ind w:firstLine="420" w:firstLineChars="200"/>
    </w:pPr>
    <w:rPr>
      <w:rFonts w:ascii="Times New Roman" w:hAnsi="Times New Roman" w:eastAsia="宋体" w:cs="Times New Roman"/>
      <w:szCs w:val="20"/>
    </w:rPr>
  </w:style>
  <w:style w:type="character" w:customStyle="1" w:styleId="155">
    <w:name w:val="列出段落 Char"/>
    <w:link w:val="154"/>
    <w:qFormat/>
    <w:locked/>
    <w:uiPriority w:val="34"/>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0" Type="http://schemas.openxmlformats.org/officeDocument/2006/relationships/fontTable" Target="fontTable.xml"/><Relationship Id="rId6" Type="http://schemas.openxmlformats.org/officeDocument/2006/relationships/footer" Target="footer3.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3.png"/><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32.xml"/><Relationship Id="rId41" Type="http://schemas.openxmlformats.org/officeDocument/2006/relationships/footer" Target="footer31.xml"/><Relationship Id="rId40" Type="http://schemas.openxmlformats.org/officeDocument/2006/relationships/header" Target="header8.xml"/><Relationship Id="rId4" Type="http://schemas.openxmlformats.org/officeDocument/2006/relationships/footer" Target="footer2.xml"/><Relationship Id="rId39" Type="http://schemas.openxmlformats.org/officeDocument/2006/relationships/header" Target="header7.xml"/><Relationship Id="rId38" Type="http://schemas.openxmlformats.org/officeDocument/2006/relationships/footer" Target="footer30.xml"/><Relationship Id="rId37" Type="http://schemas.openxmlformats.org/officeDocument/2006/relationships/footer" Target="footer29.xml"/><Relationship Id="rId36" Type="http://schemas.openxmlformats.org/officeDocument/2006/relationships/header" Target="header6.xml"/><Relationship Id="rId35" Type="http://schemas.openxmlformats.org/officeDocument/2006/relationships/header" Target="header5.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F5AA74-2290-4220-B658-65DFAE7807C5}">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96</Pages>
  <Words>3838</Words>
  <Characters>21881</Characters>
  <Lines>182</Lines>
  <Paragraphs>51</Paragraphs>
  <TotalTime>10</TotalTime>
  <ScaleCrop>false</ScaleCrop>
  <LinksUpToDate>false</LinksUpToDate>
  <CharactersWithSpaces>25668</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2024-06-21T03:25:00Z</cp:lastPrinted>
  <dcterms:modified xsi:type="dcterms:W3CDTF">2025-09-04T02:05:30Z</dcterms:modified>
  <cp:revision>299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A59F3589425A4443B82735B58372AD97_13</vt:lpwstr>
  </property>
  <property fmtid="{D5CDD505-2E9C-101B-9397-08002B2CF9AE}" pid="4" name="KSOTemplateDocerSaveRecord">
    <vt:lpwstr>eyJoZGlkIjoiMGEyZmJjNWQ2ODgwYzY0ZDEzMTdlYzkzZWRhZjUxNjciLCJ1c2VySWQiOiIyOTExNDA4MjgifQ==</vt:lpwstr>
  </property>
</Properties>
</file>